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FA" w:rsidRPr="00FF4360" w:rsidRDefault="002F2D69" w:rsidP="009B05FA">
      <w:pPr>
        <w:shd w:val="clear" w:color="auto" w:fill="FFFFFF"/>
        <w:jc w:val="center"/>
        <w:rPr>
          <w:b/>
        </w:rPr>
      </w:pPr>
      <w:r>
        <w:rPr>
          <w:b/>
        </w:rPr>
        <w:t>LĪGUMS Nr. 13-2/1534</w:t>
      </w:r>
      <w:r w:rsidR="009B05FA">
        <w:rPr>
          <w:b/>
        </w:rPr>
        <w:t>-2018</w:t>
      </w:r>
    </w:p>
    <w:p w:rsidR="009B05FA" w:rsidRPr="00DE629D" w:rsidRDefault="009B05FA" w:rsidP="009B05FA">
      <w:pPr>
        <w:shd w:val="clear" w:color="auto" w:fill="FFFFFF"/>
        <w:jc w:val="center"/>
        <w:rPr>
          <w:bCs/>
          <w:i/>
        </w:rPr>
      </w:pPr>
      <w:r w:rsidRPr="00DE629D">
        <w:rPr>
          <w:bCs/>
          <w:i/>
        </w:rPr>
        <w:t xml:space="preserve">par gaismas dekoru </w:t>
      </w:r>
      <w:r>
        <w:rPr>
          <w:bCs/>
          <w:i/>
        </w:rPr>
        <w:t>piegādi</w:t>
      </w:r>
    </w:p>
    <w:p w:rsidR="009B05FA" w:rsidRPr="009047DB" w:rsidRDefault="009B05FA" w:rsidP="009B05FA">
      <w:pPr>
        <w:shd w:val="clear" w:color="auto" w:fill="FFFFFF"/>
        <w:jc w:val="center"/>
        <w:rPr>
          <w:bCs/>
          <w:i/>
        </w:rPr>
      </w:pPr>
    </w:p>
    <w:p w:rsidR="009B05FA" w:rsidRDefault="009B05FA" w:rsidP="009B05FA">
      <w:pPr>
        <w:shd w:val="clear" w:color="auto" w:fill="FFFFFF"/>
        <w:tabs>
          <w:tab w:val="right" w:pos="9356"/>
        </w:tabs>
        <w:rPr>
          <w:color w:val="000000"/>
        </w:rPr>
      </w:pPr>
      <w:r>
        <w:rPr>
          <w:color w:val="000000"/>
        </w:rPr>
        <w:t>Mārupē</w:t>
      </w:r>
      <w:r>
        <w:rPr>
          <w:color w:val="000000"/>
        </w:rPr>
        <w:tab/>
        <w:t>2018</w:t>
      </w:r>
      <w:r w:rsidR="0034244A">
        <w:rPr>
          <w:color w:val="000000"/>
        </w:rPr>
        <w:t>. gada 17. decembrī</w:t>
      </w:r>
    </w:p>
    <w:p w:rsidR="009B05FA" w:rsidRPr="00FF4360" w:rsidRDefault="009B05FA" w:rsidP="009B05FA">
      <w:pPr>
        <w:shd w:val="clear" w:color="auto" w:fill="FFFFFF"/>
        <w:tabs>
          <w:tab w:val="right" w:pos="9356"/>
        </w:tabs>
        <w:rPr>
          <w:color w:val="000000"/>
        </w:rPr>
      </w:pPr>
    </w:p>
    <w:p w:rsidR="009B05FA" w:rsidRPr="002327D6" w:rsidRDefault="009B05FA" w:rsidP="009B05FA">
      <w:pPr>
        <w:autoSpaceDN w:val="0"/>
        <w:ind w:firstLine="567"/>
        <w:rPr>
          <w:rFonts w:eastAsia="Calibri"/>
        </w:rPr>
      </w:pPr>
      <w:r w:rsidRPr="002327D6">
        <w:rPr>
          <w:rFonts w:eastAsia="Calibri"/>
          <w:b/>
        </w:rPr>
        <w:t xml:space="preserve">Mārupes novada Dome, </w:t>
      </w:r>
      <w:proofErr w:type="spellStart"/>
      <w:r w:rsidRPr="002327D6">
        <w:rPr>
          <w:rFonts w:eastAsia="Calibri"/>
        </w:rPr>
        <w:t>reģ</w:t>
      </w:r>
      <w:proofErr w:type="spellEnd"/>
      <w:r w:rsidRPr="002327D6">
        <w:rPr>
          <w:rFonts w:eastAsia="Calibri"/>
        </w:rPr>
        <w:t xml:space="preserve">. Nr. 90000012827, tās izpilddirektora </w:t>
      </w:r>
      <w:proofErr w:type="spellStart"/>
      <w:r w:rsidRPr="002327D6">
        <w:rPr>
          <w:rFonts w:eastAsia="Calibri"/>
        </w:rPr>
        <w:t>p.i</w:t>
      </w:r>
      <w:proofErr w:type="spellEnd"/>
      <w:r w:rsidRPr="002327D6">
        <w:rPr>
          <w:rFonts w:eastAsia="Calibri"/>
        </w:rPr>
        <w:t xml:space="preserve">. </w:t>
      </w:r>
      <w:r w:rsidRPr="002327D6">
        <w:rPr>
          <w:rFonts w:eastAsia="Calibri"/>
          <w:b/>
        </w:rPr>
        <w:t>Kristapa Loča</w:t>
      </w:r>
      <w:r w:rsidRPr="002327D6">
        <w:rPr>
          <w:rFonts w:eastAsia="Calibri"/>
        </w:rPr>
        <w:t xml:space="preserve"> personā,  kurš rīkojas uz Mārupes novada Domes 2018. gada 13. marta rīkojuma Nr. 2-24/144 pamata, (turpmāk – Pasūtītājs) no vienas puses, un</w:t>
      </w:r>
    </w:p>
    <w:p w:rsidR="009B05FA" w:rsidRPr="00FF4360" w:rsidRDefault="009B05FA" w:rsidP="009B05FA">
      <w:pPr>
        <w:shd w:val="clear" w:color="auto" w:fill="FFFFFF"/>
        <w:ind w:firstLine="567"/>
        <w:rPr>
          <w:color w:val="000000"/>
        </w:rPr>
      </w:pPr>
      <w:proofErr w:type="spellStart"/>
      <w:r>
        <w:rPr>
          <w:b/>
        </w:rPr>
        <w:t>Aktsiaselts</w:t>
      </w:r>
      <w:proofErr w:type="spellEnd"/>
      <w:r>
        <w:rPr>
          <w:b/>
        </w:rPr>
        <w:t xml:space="preserve"> Adam </w:t>
      </w:r>
      <w:proofErr w:type="spellStart"/>
      <w:r>
        <w:rPr>
          <w:b/>
        </w:rPr>
        <w:t>Bd</w:t>
      </w:r>
      <w:proofErr w:type="spellEnd"/>
      <w:r>
        <w:rPr>
          <w:b/>
        </w:rPr>
        <w:t xml:space="preserve"> filiāle “Adam </w:t>
      </w:r>
      <w:proofErr w:type="spellStart"/>
      <w:r>
        <w:rPr>
          <w:b/>
        </w:rPr>
        <w:t>Decolight</w:t>
      </w:r>
      <w:proofErr w:type="spellEnd"/>
      <w:r>
        <w:rPr>
          <w:b/>
        </w:rPr>
        <w:t xml:space="preserve"> Latvia”</w:t>
      </w:r>
      <w:r>
        <w:t xml:space="preserve">, </w:t>
      </w:r>
      <w:proofErr w:type="spellStart"/>
      <w:r>
        <w:t>reģ</w:t>
      </w:r>
      <w:proofErr w:type="spellEnd"/>
      <w:r>
        <w:t>. Nr. 50103239701</w:t>
      </w:r>
      <w:r w:rsidRPr="00FF4360">
        <w:t xml:space="preserve">, tās </w:t>
      </w:r>
      <w:r>
        <w:t xml:space="preserve">prokūrista </w:t>
      </w:r>
      <w:r w:rsidRPr="00E115F6">
        <w:rPr>
          <w:b/>
        </w:rPr>
        <w:t>Viļņa Burtnieka</w:t>
      </w:r>
      <w:r>
        <w:t xml:space="preserve"> personā, kurš </w:t>
      </w:r>
      <w:r w:rsidRPr="00FF4360">
        <w:t xml:space="preserve">rīkojas uz </w:t>
      </w:r>
      <w:proofErr w:type="spellStart"/>
      <w:r>
        <w:t>prokūras</w:t>
      </w:r>
      <w:proofErr w:type="spellEnd"/>
      <w:r w:rsidRPr="00FF4360">
        <w:t xml:space="preserve"> pamata, (turpmāk – </w:t>
      </w:r>
      <w:r>
        <w:t>Piegādātājs</w:t>
      </w:r>
      <w:r w:rsidRPr="00FF4360">
        <w:t xml:space="preserve">), no otras puses, Pasūtītājs un </w:t>
      </w:r>
      <w:r>
        <w:t xml:space="preserve">Piegādātājs, </w:t>
      </w:r>
      <w:r w:rsidRPr="00FF4360">
        <w:t>abi kopā saukti arī Puses,</w:t>
      </w:r>
      <w:r w:rsidRPr="00FF4360">
        <w:rPr>
          <w:color w:val="000000"/>
        </w:rPr>
        <w:t xml:space="preserve"> </w:t>
      </w:r>
    </w:p>
    <w:p w:rsidR="009B05FA" w:rsidRPr="00FF4360" w:rsidRDefault="009B05FA" w:rsidP="009B05FA">
      <w:pPr>
        <w:shd w:val="clear" w:color="auto" w:fill="FFFFFF"/>
        <w:ind w:firstLine="567"/>
        <w:rPr>
          <w:color w:val="000000"/>
        </w:rPr>
      </w:pPr>
      <w:r w:rsidRPr="00FF4360">
        <w:rPr>
          <w:bCs/>
        </w:rPr>
        <w:t xml:space="preserve">pamatojoties uz </w:t>
      </w:r>
      <w:r w:rsidRPr="007708A6">
        <w:rPr>
          <w:bCs/>
        </w:rPr>
        <w:t>iepirkuma “Gaismas dekoru piegāde”, identifikācijas</w:t>
      </w:r>
      <w:r>
        <w:rPr>
          <w:bCs/>
        </w:rPr>
        <w:t xml:space="preserve"> Nr. MND 2018/78,</w:t>
      </w:r>
      <w:r w:rsidRPr="00DE4026">
        <w:rPr>
          <w:bCs/>
        </w:rPr>
        <w:t xml:space="preserve"> </w:t>
      </w:r>
      <w:r w:rsidRPr="00FF4360">
        <w:rPr>
          <w:bCs/>
        </w:rPr>
        <w:t>(turpmāk – Iepirkums) rezultātiem</w:t>
      </w:r>
      <w:r w:rsidRPr="00FF4360">
        <w:rPr>
          <w:color w:val="000000"/>
        </w:rPr>
        <w:t xml:space="preserve"> noslēdz šādu līgumu (turpmāk – Līgums):</w:t>
      </w:r>
    </w:p>
    <w:p w:rsidR="009B05FA" w:rsidRPr="00FF4360" w:rsidRDefault="009B05FA" w:rsidP="009B05FA">
      <w:pPr>
        <w:pStyle w:val="1Lgumam"/>
        <w:keepNext/>
        <w:numPr>
          <w:ilvl w:val="0"/>
          <w:numId w:val="1"/>
        </w:numPr>
        <w:tabs>
          <w:tab w:val="clear" w:pos="426"/>
        </w:tabs>
        <w:spacing w:after="0"/>
      </w:pPr>
      <w:r w:rsidRPr="00FF4360">
        <w:t xml:space="preserve">LĪGUMA </w:t>
      </w:r>
      <w:r w:rsidRPr="00945EA6">
        <w:t>PRIEKŠMETS</w:t>
      </w:r>
    </w:p>
    <w:p w:rsidR="009B05FA" w:rsidRPr="00945EA6" w:rsidRDefault="009B05FA" w:rsidP="009B05FA">
      <w:pPr>
        <w:pStyle w:val="11Lgumam"/>
        <w:numPr>
          <w:ilvl w:val="0"/>
          <w:numId w:val="0"/>
        </w:numPr>
      </w:pPr>
      <w:bookmarkStart w:id="0" w:name="_Ref495914031"/>
      <w:r w:rsidRPr="00945EA6">
        <w:t xml:space="preserve">Piegādātājs apņemas pārdot, piegādāt un </w:t>
      </w:r>
      <w:r>
        <w:rPr>
          <w:lang w:val="lv-LV"/>
        </w:rPr>
        <w:t xml:space="preserve">nodot </w:t>
      </w:r>
      <w:r w:rsidRPr="00945EA6">
        <w:t xml:space="preserve">Pasūtītājam </w:t>
      </w:r>
      <w:r w:rsidRPr="00E957FB">
        <w:rPr>
          <w:i/>
        </w:rPr>
        <w:t>gaismas dekorus</w:t>
      </w:r>
      <w:r w:rsidRPr="00945EA6">
        <w:t xml:space="preserve"> (turpmāk – Prece), saskaņā ar Līgumā,  Tehniskajā specifikācijā (</w:t>
      </w:r>
      <w:r w:rsidR="00A6702F">
        <w:rPr>
          <w:lang w:val="lv-LV"/>
        </w:rPr>
        <w:t>turpmāk - 1. </w:t>
      </w:r>
      <w:r w:rsidRPr="00945EA6">
        <w:t>pielikums) un finanšu piedāvājumā (</w:t>
      </w:r>
      <w:r w:rsidR="00A6702F">
        <w:rPr>
          <w:lang w:val="lv-LV"/>
        </w:rPr>
        <w:t>2.</w:t>
      </w:r>
      <w:r w:rsidRPr="00945EA6">
        <w:t>pielikums) norādīto, bet Pasūtītājs apņemas samaksāt Piegādātājam par atbilstoši Līguma noteikumiem piegādātu un nodotu Preci.</w:t>
      </w:r>
      <w:bookmarkEnd w:id="0"/>
    </w:p>
    <w:p w:rsidR="009B05FA" w:rsidRDefault="009B05FA" w:rsidP="009B05FA">
      <w:pPr>
        <w:pStyle w:val="1Lgumam"/>
        <w:keepNext/>
        <w:numPr>
          <w:ilvl w:val="0"/>
          <w:numId w:val="1"/>
        </w:numPr>
        <w:tabs>
          <w:tab w:val="clear" w:pos="426"/>
        </w:tabs>
        <w:spacing w:after="0"/>
      </w:pPr>
      <w:r w:rsidRPr="00FF4360">
        <w:t xml:space="preserve">LĪGUMA SUMMA UN </w:t>
      </w:r>
      <w:r w:rsidRPr="00945EA6">
        <w:t>SAMAKSAS</w:t>
      </w:r>
      <w:r w:rsidRPr="00FF4360">
        <w:t xml:space="preserve"> KĀRTĪBA</w:t>
      </w:r>
      <w:r w:rsidRPr="00FF4360">
        <w:rPr>
          <w:lang w:val="lv-LV"/>
        </w:rPr>
        <w:t xml:space="preserve"> </w:t>
      </w:r>
    </w:p>
    <w:p w:rsidR="009B05FA" w:rsidRPr="00945EA6" w:rsidRDefault="009B05FA" w:rsidP="009B05FA">
      <w:pPr>
        <w:pStyle w:val="11Lgumam"/>
        <w:ind w:left="431" w:hanging="431"/>
      </w:pPr>
      <w:bookmarkStart w:id="1" w:name="_Ref509244799"/>
      <w:bookmarkStart w:id="2" w:name="_Ref469494421"/>
      <w:r w:rsidRPr="00945EA6">
        <w:t>Līguma summa bez pievienotās vērtības nodo</w:t>
      </w:r>
      <w:r w:rsidR="00A6702F">
        <w:t xml:space="preserve">kļa (turpmāk – PVN) ir </w:t>
      </w:r>
      <w:r w:rsidR="00A6702F" w:rsidRPr="00A6702F">
        <w:rPr>
          <w:b/>
        </w:rPr>
        <w:t>15</w:t>
      </w:r>
      <w:r w:rsidR="00A6702F" w:rsidRPr="00A6702F">
        <w:rPr>
          <w:b/>
          <w:lang w:val="lv-LV"/>
        </w:rPr>
        <w:t> </w:t>
      </w:r>
      <w:r w:rsidR="00A6702F" w:rsidRPr="00A6702F">
        <w:rPr>
          <w:b/>
        </w:rPr>
        <w:t>070,80 EUR</w:t>
      </w:r>
      <w:r w:rsidR="00A6702F">
        <w:t> (piecpadsmit t</w:t>
      </w:r>
      <w:r w:rsidR="00A6702F">
        <w:rPr>
          <w:lang w:val="lv-LV"/>
        </w:rPr>
        <w:t xml:space="preserve">ūkstoši septiņdesmit </w:t>
      </w:r>
      <w:proofErr w:type="spellStart"/>
      <w:r w:rsidR="00A6702F" w:rsidRPr="00A6702F">
        <w:rPr>
          <w:i/>
          <w:lang w:val="lv-LV"/>
        </w:rPr>
        <w:t>euro</w:t>
      </w:r>
      <w:proofErr w:type="spellEnd"/>
      <w:r w:rsidR="00A6702F">
        <w:rPr>
          <w:lang w:val="lv-LV"/>
        </w:rPr>
        <w:t xml:space="preserve"> un 80 </w:t>
      </w:r>
      <w:r w:rsidR="00A6702F" w:rsidRPr="00A6702F">
        <w:rPr>
          <w:i/>
          <w:lang w:val="lv-LV"/>
        </w:rPr>
        <w:t>centi</w:t>
      </w:r>
      <w:r w:rsidRPr="00945EA6">
        <w:t>).</w:t>
      </w:r>
      <w:bookmarkEnd w:id="1"/>
    </w:p>
    <w:p w:rsidR="009B05FA" w:rsidRPr="00945EA6" w:rsidRDefault="009B05FA" w:rsidP="009B05FA">
      <w:pPr>
        <w:pStyle w:val="11Lgumam"/>
        <w:ind w:left="431" w:hanging="431"/>
      </w:pPr>
      <w:r w:rsidRPr="00945EA6">
        <w:t>PVN tiek maksāts saskaņā ar Latvijas Republikā spēkā esošo nodokļa likmi.</w:t>
      </w:r>
      <w:bookmarkEnd w:id="2"/>
    </w:p>
    <w:p w:rsidR="009B05FA" w:rsidRPr="00945EA6" w:rsidRDefault="009B05FA" w:rsidP="009B05FA">
      <w:pPr>
        <w:pStyle w:val="11Lgumam"/>
        <w:ind w:left="431" w:hanging="431"/>
      </w:pPr>
      <w:r w:rsidRPr="00945EA6">
        <w:t>Līguma summa ietver Preces piegādes izdevumus līdz Līguma</w:t>
      </w:r>
      <w:r>
        <w:rPr>
          <w:lang w:val="lv-LV"/>
        </w:rPr>
        <w:t xml:space="preserve"> </w:t>
      </w:r>
      <w:r>
        <w:rPr>
          <w:lang w:val="lv-LV"/>
        </w:rPr>
        <w:fldChar w:fldCharType="begin"/>
      </w:r>
      <w:r>
        <w:rPr>
          <w:lang w:val="lv-LV"/>
        </w:rPr>
        <w:instrText xml:space="preserve"> REF _Ref531259636 \r \h </w:instrText>
      </w:r>
      <w:r>
        <w:rPr>
          <w:lang w:val="lv-LV"/>
        </w:rPr>
      </w:r>
      <w:r>
        <w:rPr>
          <w:lang w:val="lv-LV"/>
        </w:rPr>
        <w:fldChar w:fldCharType="separate"/>
      </w:r>
      <w:r>
        <w:rPr>
          <w:lang w:val="lv-LV"/>
        </w:rPr>
        <w:t>3.1</w:t>
      </w:r>
      <w:r>
        <w:rPr>
          <w:lang w:val="lv-LV"/>
        </w:rPr>
        <w:fldChar w:fldCharType="end"/>
      </w:r>
      <w:r w:rsidRPr="00945EA6">
        <w:t>. punktā norādītajai piegādes vietai (t.sk. transporta izmaksas), iepakojuma izmaksas, visus nodokļus un nodevas, kā arī citas izmaksas, kas attiecas uz Preci un tās piegādi.</w:t>
      </w:r>
    </w:p>
    <w:p w:rsidR="009B05FA" w:rsidRPr="00945EA6" w:rsidRDefault="009B05FA" w:rsidP="009B05FA">
      <w:pPr>
        <w:pStyle w:val="11Lgumam"/>
        <w:ind w:left="431" w:hanging="431"/>
      </w:pPr>
      <w:bookmarkStart w:id="3" w:name="_Ref469481825"/>
      <w:r w:rsidRPr="00945EA6">
        <w:t xml:space="preserve">Apmaksa tiek veikta </w:t>
      </w:r>
      <w:proofErr w:type="spellStart"/>
      <w:r w:rsidRPr="00CE586F">
        <w:rPr>
          <w:i/>
        </w:rPr>
        <w:t>euro</w:t>
      </w:r>
      <w:proofErr w:type="spellEnd"/>
      <w:r w:rsidRPr="00945EA6">
        <w:t>, saskaņā ar Piegādātāja iesniegto Preču pavadzīmi – rēķinu, Pasūtītājam veicot bezskaidras naudas pārskaitījumu uz rēķinā norādīto bankas kontu 30 (trīsdesmit) dienu laikā pēc Preču pavadzīmes – rēķina abpusējas parakstīšanas dienas, ja atbilstoši Līguma</w:t>
      </w:r>
      <w:bookmarkEnd w:id="3"/>
      <w:r>
        <w:rPr>
          <w:lang w:val="lv-LV"/>
        </w:rPr>
        <w:t xml:space="preserve"> </w:t>
      </w:r>
      <w:r>
        <w:rPr>
          <w:lang w:val="lv-LV"/>
        </w:rPr>
        <w:fldChar w:fldCharType="begin"/>
      </w:r>
      <w:r>
        <w:rPr>
          <w:lang w:val="lv-LV"/>
        </w:rPr>
        <w:instrText xml:space="preserve"> REF _Ref531259661 \r \h </w:instrText>
      </w:r>
      <w:r>
        <w:rPr>
          <w:lang w:val="lv-LV"/>
        </w:rPr>
      </w:r>
      <w:r>
        <w:rPr>
          <w:lang w:val="lv-LV"/>
        </w:rPr>
        <w:fldChar w:fldCharType="separate"/>
      </w:r>
      <w:r>
        <w:rPr>
          <w:lang w:val="lv-LV"/>
        </w:rPr>
        <w:t>3.6</w:t>
      </w:r>
      <w:r>
        <w:rPr>
          <w:lang w:val="lv-LV"/>
        </w:rPr>
        <w:fldChar w:fldCharType="end"/>
      </w:r>
      <w:r w:rsidRPr="00945EA6">
        <w:t>. punktam nav sagatavots Preces defekta akts.</w:t>
      </w:r>
    </w:p>
    <w:p w:rsidR="009B05FA" w:rsidRPr="00945EA6" w:rsidRDefault="009B05FA" w:rsidP="009B05FA">
      <w:pPr>
        <w:pStyle w:val="11Lgumam"/>
        <w:ind w:left="431" w:hanging="431"/>
      </w:pPr>
      <w:r w:rsidRPr="00945EA6">
        <w:t>Pasūtītājam tiek iesniegti Latvijas Republikā spēkā esošiem normatīvajiem aktiem atbilstoši noformēti Preču pavadzīmes – rēķina trīs eksemplāri (viens eksemplārs – Piegādātājam, divi eksemplāri – Pasūtītājam). Preču pavadzīmē – rēķinā tiek norādīts Līguma numurs, Preces nosaukums, apjoms, kopējā cena, PVN likme un kopējā cena ar PVN. Pasūtītājs neapmaksā neatbilstoši Līguma noteikumiem noformētu Preču pavadzīmi – rēķinu.</w:t>
      </w:r>
    </w:p>
    <w:p w:rsidR="009B05FA" w:rsidRPr="00945EA6" w:rsidRDefault="009B05FA" w:rsidP="009B05FA">
      <w:pPr>
        <w:pStyle w:val="11Lgumam"/>
        <w:ind w:left="431" w:hanging="431"/>
      </w:pPr>
      <w:r w:rsidRPr="00945EA6">
        <w:t>Par apmaksas dienu tiek uzskatīta diena, kad Pasūtītājs ir veicis pārskaitījumu uz Piegādātāja Preču pavadzīmē – rēķinā norādīto bankas kontu, ko apliecina attiecīgais maksājuma uzdevums.</w:t>
      </w:r>
    </w:p>
    <w:p w:rsidR="009B05FA" w:rsidRPr="00945EA6" w:rsidRDefault="009B05FA" w:rsidP="009B05FA">
      <w:pPr>
        <w:pStyle w:val="11Lgumam"/>
        <w:ind w:left="431" w:hanging="431"/>
      </w:pPr>
      <w:r w:rsidRPr="00945EA6">
        <w:t xml:space="preserve">Ja Piegādātājs piegādājis Līguma noteikumiem neatbilstošu Preci, norēķināšanās par piegādāto Preci notiek pēc tās apmaiņas pret Līguma noteikumiem atbilstošu Preci un Līguma </w:t>
      </w:r>
      <w:r w:rsidRPr="00945EA6">
        <w:fldChar w:fldCharType="begin"/>
      </w:r>
      <w:r w:rsidRPr="00945EA6">
        <w:instrText xml:space="preserve"> REF _Ref469481825 \r \h </w:instrText>
      </w:r>
      <w:r>
        <w:instrText xml:space="preserve"> \* MERGEFORMAT </w:instrText>
      </w:r>
      <w:r w:rsidRPr="00945EA6">
        <w:fldChar w:fldCharType="separate"/>
      </w:r>
      <w:r>
        <w:t>2.4</w:t>
      </w:r>
      <w:r w:rsidRPr="00945EA6">
        <w:fldChar w:fldCharType="end"/>
      </w:r>
      <w:r w:rsidRPr="00945EA6">
        <w:t>. punktā noteiktā kārtībā.</w:t>
      </w:r>
    </w:p>
    <w:p w:rsidR="009B05FA" w:rsidRPr="00945EA6" w:rsidRDefault="009B05FA" w:rsidP="009B05FA">
      <w:pPr>
        <w:pStyle w:val="1Lgumam"/>
        <w:keepNext/>
        <w:numPr>
          <w:ilvl w:val="0"/>
          <w:numId w:val="1"/>
        </w:numPr>
        <w:tabs>
          <w:tab w:val="clear" w:pos="426"/>
        </w:tabs>
        <w:spacing w:after="0"/>
      </w:pPr>
      <w:r>
        <w:rPr>
          <w:lang w:val="lv-LV"/>
        </w:rPr>
        <w:t>PRECES NODOŠANAS UN PIEŅEMŠANAS KĀRTĪBA</w:t>
      </w:r>
    </w:p>
    <w:p w:rsidR="009B05FA" w:rsidRPr="00945EA6" w:rsidRDefault="009B05FA" w:rsidP="009B05FA">
      <w:pPr>
        <w:pStyle w:val="11Lgumam"/>
        <w:ind w:left="431" w:hanging="431"/>
      </w:pPr>
      <w:bookmarkStart w:id="4" w:name="_Ref531259636"/>
      <w:r w:rsidRPr="00945EA6">
        <w:t xml:space="preserve">Preces piegādes adrese ir: </w:t>
      </w:r>
      <w:r>
        <w:rPr>
          <w:lang w:val="lv-LV"/>
        </w:rPr>
        <w:t>Mazcenu aleja 35, Jaunmārupe</w:t>
      </w:r>
      <w:r>
        <w:t>, Mārupes novads, LV-2166</w:t>
      </w:r>
      <w:r w:rsidRPr="00945EA6">
        <w:t>.</w:t>
      </w:r>
      <w:bookmarkEnd w:id="4"/>
    </w:p>
    <w:p w:rsidR="009B05FA" w:rsidRPr="00945EA6" w:rsidRDefault="009B05FA" w:rsidP="009B05FA">
      <w:pPr>
        <w:pStyle w:val="11Lgumam"/>
        <w:ind w:left="431" w:hanging="431"/>
      </w:pPr>
      <w:r w:rsidRPr="00945EA6">
        <w:t>Piegādātājs Preces piegādi</w:t>
      </w:r>
      <w:r>
        <w:t xml:space="preserve"> veic 14 (</w:t>
      </w:r>
      <w:r>
        <w:rPr>
          <w:lang w:val="lv-LV"/>
        </w:rPr>
        <w:t>četrpadsmit</w:t>
      </w:r>
      <w:r w:rsidR="00F60751">
        <w:t xml:space="preserve">) </w:t>
      </w:r>
      <w:r w:rsidRPr="00945EA6">
        <w:t>dienu laikā no Līguma abpusējas parakstīšanas dienas.</w:t>
      </w:r>
    </w:p>
    <w:p w:rsidR="009B05FA" w:rsidRPr="00945EA6" w:rsidRDefault="009B05FA" w:rsidP="009B05FA">
      <w:pPr>
        <w:pStyle w:val="11Lgumam"/>
        <w:ind w:left="431" w:hanging="431"/>
      </w:pPr>
      <w:r w:rsidRPr="00945EA6">
        <w:t>Par konkrētu Preces piegādes laiku Piegādātājs vienojas ar Pasūtītāja ko</w:t>
      </w:r>
      <w:r>
        <w:t>ntak</w:t>
      </w:r>
      <w:r w:rsidR="00A6702F">
        <w:t>tpersonu, tel. +371 25663647</w:t>
      </w:r>
      <w:r w:rsidRPr="00945EA6">
        <w:t>.</w:t>
      </w:r>
    </w:p>
    <w:p w:rsidR="009B05FA" w:rsidRDefault="009B05FA" w:rsidP="009B05FA">
      <w:pPr>
        <w:pStyle w:val="11Lgumam"/>
        <w:ind w:left="431" w:hanging="431"/>
      </w:pPr>
      <w:r w:rsidRPr="00945EA6">
        <w:t>Piegādātājs nodod Preci Pasūtītājam k</w:t>
      </w:r>
      <w:r>
        <w:t>opā ar Preču pavadzīmi – rēķinu.</w:t>
      </w:r>
    </w:p>
    <w:p w:rsidR="009B05FA" w:rsidRPr="00945EA6" w:rsidRDefault="009B05FA" w:rsidP="009B05FA">
      <w:pPr>
        <w:pStyle w:val="11Lgumam"/>
        <w:ind w:left="431" w:hanging="431"/>
      </w:pPr>
      <w:r w:rsidRPr="00945EA6">
        <w:t xml:space="preserve">Pasūtītājs pārbauda Preces atbilstību Līguma noteikumiem </w:t>
      </w:r>
      <w:r>
        <w:rPr>
          <w:lang w:val="lv-LV"/>
        </w:rPr>
        <w:t>5 (piecu) darbdienu laikā pēc Preces piegādes.</w:t>
      </w:r>
    </w:p>
    <w:p w:rsidR="009B05FA" w:rsidRPr="00945EA6" w:rsidRDefault="009B05FA" w:rsidP="009B05FA">
      <w:pPr>
        <w:pStyle w:val="11Lgumam"/>
        <w:ind w:left="431" w:hanging="431"/>
      </w:pPr>
      <w:bookmarkStart w:id="5" w:name="_Ref531259661"/>
      <w:r w:rsidRPr="00945EA6">
        <w:lastRenderedPageBreak/>
        <w:t>Ja Pasūtī</w:t>
      </w:r>
      <w:r>
        <w:t xml:space="preserve">tājam ir iebildumi par Preces </w:t>
      </w:r>
      <w:r w:rsidRPr="00945EA6">
        <w:t xml:space="preserve">atbilstību Līguma noteikumiem, Pasūtītājs sagatavo defektu aktu un nosūta to elektroniski Piegādātājam uz e-pasta adresi: </w:t>
      </w:r>
      <w:hyperlink r:id="rId5" w:history="1">
        <w:r w:rsidR="00A6702F" w:rsidRPr="00302F06">
          <w:rPr>
            <w:rStyle w:val="Hyperlink"/>
            <w:lang w:val="lv-LV"/>
          </w:rPr>
          <w:t>adam@adam.lv</w:t>
        </w:r>
      </w:hyperlink>
      <w:r w:rsidR="00A6702F">
        <w:rPr>
          <w:lang w:val="lv-LV"/>
        </w:rPr>
        <w:t xml:space="preserve"> </w:t>
      </w:r>
      <w:r w:rsidR="00A6702F">
        <w:t>un informē pa tel. +371 67299094</w:t>
      </w:r>
      <w:r w:rsidRPr="00945EA6">
        <w:t>. Piegādātājs 5 (piecu) darbdienu laikā veic Līguma noteikumiem neatbilstošu Preces aizvietošanu ar Līgumam atbilstošu Preci uz sava rēķina. Ja Piegādātājs nepiekrīt defektu aktā norādītajam, Piegādātājs ne vēlāk kā 2 (divu) darbdienu laikā no defektu akta sagatavošanas dienas rakstveidā iesniedz Pasūtītājam motivētu atteikumu novērst konstatētās neatbilstības. Defektu novēršana nepagarina Preces piegādes termiņu.</w:t>
      </w:r>
      <w:bookmarkEnd w:id="5"/>
      <w:r w:rsidRPr="00945EA6">
        <w:t xml:space="preserve"> </w:t>
      </w:r>
    </w:p>
    <w:p w:rsidR="009B05FA" w:rsidRPr="00945EA6" w:rsidRDefault="009B05FA" w:rsidP="009B05FA">
      <w:pPr>
        <w:pStyle w:val="11Lgumam"/>
        <w:ind w:left="431" w:hanging="431"/>
      </w:pPr>
      <w:r w:rsidRPr="00945EA6">
        <w:t xml:space="preserve">Jautājumu par defektu aktā norādītā pamatotību izlemj </w:t>
      </w:r>
      <w:r>
        <w:rPr>
          <w:lang w:val="lv-LV"/>
        </w:rPr>
        <w:t>Pušu</w:t>
      </w:r>
      <w:r w:rsidRPr="00945EA6">
        <w:t xml:space="preserve"> pārstāvji. Ja pārstāvji nevar vienoties, </w:t>
      </w:r>
      <w:r>
        <w:rPr>
          <w:lang w:val="lv-LV"/>
        </w:rPr>
        <w:t>Pusēm</w:t>
      </w:r>
      <w:r w:rsidRPr="00945EA6">
        <w:t xml:space="preserve"> ir tiesības pieaicināt neatkarīgu ekspertu, kura pakalpojumu apmaksā Piegādātājs, ja tiek konstatēts, ka Preces defekta rašanās iemesls nav Pasūtītāja vaina. Ja neatkarīgais eksperts konstatē, ka Preces defekts radies Pasūtītāja vainas dēļ, neatkarīgā eksperta pakalpojumu apmaksā Pasūtītājs.</w:t>
      </w:r>
    </w:p>
    <w:p w:rsidR="009B05FA" w:rsidRPr="00FF4360" w:rsidRDefault="009B05FA" w:rsidP="009B05FA">
      <w:pPr>
        <w:pStyle w:val="11Lgumam"/>
        <w:ind w:left="431" w:hanging="431"/>
      </w:pPr>
      <w:r w:rsidRPr="00945EA6">
        <w:t xml:space="preserve">Piegādātājs ir atbildīgs par Preces nejaušas, pilnīgas vai daļējas bojāejas vai sabojāšanās risku līdz Preces piegādes un Preču pavadzīmes – </w:t>
      </w:r>
      <w:r>
        <w:t>rēķina abpusējai parakstīšanai.</w:t>
      </w:r>
    </w:p>
    <w:p w:rsidR="009B05FA" w:rsidRPr="00FF4360" w:rsidRDefault="009B05FA" w:rsidP="009B05FA">
      <w:pPr>
        <w:pStyle w:val="1Lgumam"/>
        <w:keepNext/>
        <w:numPr>
          <w:ilvl w:val="0"/>
          <w:numId w:val="1"/>
        </w:numPr>
        <w:tabs>
          <w:tab w:val="clear" w:pos="426"/>
        </w:tabs>
        <w:spacing w:after="0"/>
      </w:pPr>
      <w:r>
        <w:rPr>
          <w:lang w:val="lv-LV"/>
        </w:rPr>
        <w:t xml:space="preserve">PRECES KVALITĀTE UN </w:t>
      </w:r>
      <w:r>
        <w:t>GARANTIJA</w:t>
      </w:r>
    </w:p>
    <w:p w:rsidR="009B05FA" w:rsidRPr="00CE586F" w:rsidRDefault="009B05FA" w:rsidP="009B05FA">
      <w:pPr>
        <w:pStyle w:val="11Lgumam"/>
        <w:ind w:left="431" w:hanging="431"/>
      </w:pPr>
      <w:r w:rsidRPr="00CE586F">
        <w:t>Pie</w:t>
      </w:r>
      <w:r w:rsidR="00A6702F">
        <w:t>gādātajai Precei ir jāatbilst 1. </w:t>
      </w:r>
      <w:r w:rsidRPr="00CE586F">
        <w:t>pielikumā noteiktajām prasībām un jāatbilst prasībām, par kurām Puses rakstiski vienojušās Līgumā noteiktā kārtībā.</w:t>
      </w:r>
    </w:p>
    <w:p w:rsidR="009B05FA" w:rsidRPr="00CE586F" w:rsidRDefault="009B05FA" w:rsidP="009B05FA">
      <w:pPr>
        <w:pStyle w:val="11Lgumam"/>
        <w:ind w:left="431" w:hanging="431"/>
      </w:pPr>
      <w:r w:rsidRPr="00CE586F">
        <w:t>Piegādātājs, parakstot</w:t>
      </w:r>
      <w:r w:rsidR="00A6702F">
        <w:t xml:space="preserve"> Līgumu dod Precei garantiju 24 </w:t>
      </w:r>
      <w:r w:rsidRPr="00CE586F">
        <w:t>(divdesmit četrus) mēnešus no Preču pavadzīmes – rēķina abpusējas parakstīšanas dienas.</w:t>
      </w:r>
    </w:p>
    <w:p w:rsidR="009B05FA" w:rsidRPr="00CE586F" w:rsidRDefault="009B05FA" w:rsidP="009B05FA">
      <w:pPr>
        <w:pStyle w:val="11Lgumam"/>
        <w:ind w:left="431" w:hanging="431"/>
      </w:pPr>
      <w:r w:rsidRPr="00CE586F">
        <w:t>Garantijas remontus Piegādātājs veic saskaņā ar Preces izgatavotāja garantijas noteikumiem, pamatojoties uz Pasūtītāja iesniegto pieprasījumu.</w:t>
      </w:r>
    </w:p>
    <w:p w:rsidR="009B05FA" w:rsidRPr="00CE586F" w:rsidRDefault="009B05FA" w:rsidP="009B05FA">
      <w:pPr>
        <w:pStyle w:val="11Lgumam"/>
        <w:ind w:left="431" w:hanging="431"/>
      </w:pPr>
      <w:r w:rsidRPr="00CE586F">
        <w:t>Piegādātās Preces defekta gadījumā garantijas laikā, Piegādātājs par saviem līdzekļiem apņemas ne vēlāk kā 10 (desmit) darbdienu laikā pēc Pasūtītāja Defekta pieteikuma nosūtīšanas dienas, veikt Preces remontu vai piegādāt Līguma noteikumiem neatbilstošas Preces vietā jaunu, Līguma noteikumiem atbilstošu Preci.</w:t>
      </w:r>
    </w:p>
    <w:p w:rsidR="009B05FA" w:rsidRPr="00CE586F" w:rsidRDefault="009B05FA" w:rsidP="009B05FA">
      <w:pPr>
        <w:pStyle w:val="11Lgumam"/>
        <w:ind w:left="431" w:hanging="431"/>
      </w:pPr>
      <w:r>
        <w:t>Preces</w:t>
      </w:r>
      <w:r w:rsidRPr="00CE586F">
        <w:t xml:space="preserve"> garantija neattiecas uz defektiem, kas radušies:</w:t>
      </w:r>
    </w:p>
    <w:p w:rsidR="009B05FA" w:rsidRPr="00FF4360" w:rsidRDefault="009B05FA" w:rsidP="009B05FA">
      <w:pPr>
        <w:pStyle w:val="111Lgumam"/>
        <w:numPr>
          <w:ilvl w:val="2"/>
          <w:numId w:val="1"/>
        </w:numPr>
        <w:ind w:hanging="657"/>
      </w:pPr>
      <w:r w:rsidRPr="00FF4360">
        <w:t>apzinātu bojājumu konstatēšanas gadījumā;</w:t>
      </w:r>
    </w:p>
    <w:p w:rsidR="009B05FA" w:rsidRPr="00FF4360" w:rsidRDefault="009B05FA" w:rsidP="009B05FA">
      <w:pPr>
        <w:pStyle w:val="111Lgumam"/>
        <w:numPr>
          <w:ilvl w:val="2"/>
          <w:numId w:val="1"/>
        </w:numPr>
        <w:ind w:hanging="657"/>
      </w:pPr>
      <w:r w:rsidRPr="00FF4360">
        <w:t>neatļautu izmaiņu veikšanas, Pasūtītāja pašrocīgas remontēšanas rezultātā;</w:t>
      </w:r>
    </w:p>
    <w:p w:rsidR="009B05FA" w:rsidRPr="00FF4360" w:rsidRDefault="009B05FA" w:rsidP="009B05FA">
      <w:pPr>
        <w:pStyle w:val="111Lgumam"/>
        <w:numPr>
          <w:ilvl w:val="2"/>
          <w:numId w:val="1"/>
        </w:numPr>
        <w:ind w:hanging="657"/>
      </w:pPr>
      <w:r w:rsidRPr="00FF4360">
        <w:t>nepārvaramas varas apstākļu rezultātā.</w:t>
      </w:r>
    </w:p>
    <w:p w:rsidR="009B05FA" w:rsidRPr="00B518EF" w:rsidRDefault="009B05FA" w:rsidP="009B05FA">
      <w:pPr>
        <w:pStyle w:val="1Lgumam"/>
        <w:keepNext/>
        <w:numPr>
          <w:ilvl w:val="0"/>
          <w:numId w:val="1"/>
        </w:numPr>
        <w:tabs>
          <w:tab w:val="clear" w:pos="426"/>
        </w:tabs>
        <w:spacing w:after="0"/>
      </w:pPr>
      <w:r>
        <w:rPr>
          <w:lang w:val="lv-LV"/>
        </w:rPr>
        <w:t xml:space="preserve">PUŠU </w:t>
      </w:r>
      <w:r w:rsidRPr="00B518EF">
        <w:t>ATBILDĪBA</w:t>
      </w:r>
    </w:p>
    <w:p w:rsidR="009B05FA" w:rsidRPr="00B518EF" w:rsidRDefault="009B05FA" w:rsidP="009B05FA">
      <w:pPr>
        <w:pStyle w:val="11Lgumam"/>
        <w:ind w:left="431" w:hanging="431"/>
      </w:pPr>
      <w:r w:rsidRPr="00B518EF">
        <w:t xml:space="preserve">Ja Piegādātājs neveic Preces piegādi Līgumā noteiktajā termiņā, Piegādātājs maksā Pasūtītājam līgumsodu </w:t>
      </w:r>
      <w:r>
        <w:t>0,3</w:t>
      </w:r>
      <w:r w:rsidRPr="00B518EF">
        <w:t> % (</w:t>
      </w:r>
      <w:r>
        <w:rPr>
          <w:lang w:val="lv-LV"/>
        </w:rPr>
        <w:t>trīs desmitās daļas procenta</w:t>
      </w:r>
      <w:r w:rsidRPr="00B518EF">
        <w:t xml:space="preserve">) apmērā no Līguma </w:t>
      </w:r>
      <w:r w:rsidRPr="00B518EF">
        <w:fldChar w:fldCharType="begin"/>
      </w:r>
      <w:r w:rsidRPr="00B518EF">
        <w:instrText xml:space="preserve"> REF _Ref509244799 \r \h </w:instrText>
      </w:r>
      <w:r>
        <w:instrText xml:space="preserve"> \* MERGEFORMAT </w:instrText>
      </w:r>
      <w:r w:rsidRPr="00B518EF">
        <w:fldChar w:fldCharType="separate"/>
      </w:r>
      <w:r>
        <w:t>2.1</w:t>
      </w:r>
      <w:r w:rsidRPr="00B518EF">
        <w:fldChar w:fldCharType="end"/>
      </w:r>
      <w:r w:rsidRPr="00B518EF">
        <w:t xml:space="preserve">. punktā norādītās Līguma summas par katru nokavēto dienu, bet ne vairāk kā 10% (desmit procenti) no Līguma </w:t>
      </w:r>
      <w:r w:rsidRPr="00B518EF">
        <w:fldChar w:fldCharType="begin"/>
      </w:r>
      <w:r w:rsidRPr="00B518EF">
        <w:instrText xml:space="preserve"> REF _Ref469494421 \r \h </w:instrText>
      </w:r>
      <w:r>
        <w:instrText xml:space="preserve"> \* MERGEFORMAT </w:instrText>
      </w:r>
      <w:r w:rsidRPr="00B518EF">
        <w:fldChar w:fldCharType="separate"/>
      </w:r>
      <w:r>
        <w:t>2.1</w:t>
      </w:r>
      <w:r w:rsidRPr="00B518EF">
        <w:fldChar w:fldCharType="end"/>
      </w:r>
      <w:r w:rsidRPr="00B518EF">
        <w:t>. punktā noteiktās summas 10 (desmit) darbdienu laikā pēc Pasūtītāja rēķina par līgumsoda samaksu izrakstīšanas dienas.</w:t>
      </w:r>
    </w:p>
    <w:p w:rsidR="009B05FA" w:rsidRPr="00B518EF" w:rsidRDefault="009B05FA" w:rsidP="009B05FA">
      <w:pPr>
        <w:pStyle w:val="11Lgumam"/>
        <w:ind w:left="431" w:hanging="431"/>
      </w:pPr>
      <w:r w:rsidRPr="00B518EF">
        <w:t xml:space="preserve">Ja Pasūtītājs neveic rēķina apmaksu Līgumā noteiktajā termiņā, Pasūtītājs maksā Piegādātājam līgumsodu </w:t>
      </w:r>
      <w:r>
        <w:t>0,3</w:t>
      </w:r>
      <w:r w:rsidRPr="00B518EF">
        <w:t> % (</w:t>
      </w:r>
      <w:r>
        <w:rPr>
          <w:lang w:val="lv-LV"/>
        </w:rPr>
        <w:t>trīs desmitās daļas procenta</w:t>
      </w:r>
      <w:r w:rsidRPr="00B518EF">
        <w:t xml:space="preserve">) apmērā no Līguma </w:t>
      </w:r>
      <w:r w:rsidRPr="00B518EF">
        <w:fldChar w:fldCharType="begin"/>
      </w:r>
      <w:r w:rsidRPr="00B518EF">
        <w:instrText xml:space="preserve"> REF _Ref509244799 \r \h </w:instrText>
      </w:r>
      <w:r>
        <w:instrText xml:space="preserve"> \* MERGEFORMAT </w:instrText>
      </w:r>
      <w:r w:rsidRPr="00B518EF">
        <w:fldChar w:fldCharType="separate"/>
      </w:r>
      <w:r>
        <w:t>2.1</w:t>
      </w:r>
      <w:r w:rsidRPr="00B518EF">
        <w:fldChar w:fldCharType="end"/>
      </w:r>
      <w:r w:rsidRPr="00B518EF">
        <w:t xml:space="preserve">. punktā noteiktās Līguma summas par katru nokavēto dienu, bet ne vairāk kā 10 % (desmit procenti) no Līguma </w:t>
      </w:r>
      <w:r w:rsidRPr="00B518EF">
        <w:fldChar w:fldCharType="begin"/>
      </w:r>
      <w:r w:rsidRPr="00B518EF">
        <w:instrText xml:space="preserve"> REF _Ref509244799 \r \h </w:instrText>
      </w:r>
      <w:r>
        <w:instrText xml:space="preserve"> \* MERGEFORMAT </w:instrText>
      </w:r>
      <w:r w:rsidRPr="00B518EF">
        <w:fldChar w:fldCharType="separate"/>
      </w:r>
      <w:r>
        <w:t>2.1</w:t>
      </w:r>
      <w:r w:rsidRPr="00B518EF">
        <w:fldChar w:fldCharType="end"/>
      </w:r>
      <w:r w:rsidRPr="00B518EF">
        <w:t>. punktā norādītās Līguma summas 10 (desmit) darbdienu laikā pēc Piegādātāja rēķina par līgumsoda samaksu saņemšanas dienas.</w:t>
      </w:r>
    </w:p>
    <w:p w:rsidR="009B05FA" w:rsidRPr="00B518EF" w:rsidRDefault="009B05FA" w:rsidP="009B05FA">
      <w:pPr>
        <w:pStyle w:val="11Lgumam"/>
        <w:ind w:left="431" w:hanging="431"/>
      </w:pPr>
      <w:r w:rsidRPr="00B518EF">
        <w:t xml:space="preserve">Ja Piegādātājs vienpusēji atkāpjas no Līguma pirms Līguma saistību izpildes, Piegādātājs maksā Pasūtītājam līgumsodu </w:t>
      </w:r>
      <w:r>
        <w:t>2 0</w:t>
      </w:r>
      <w:r w:rsidRPr="00B518EF">
        <w:t>00,00 EUR (</w:t>
      </w:r>
      <w:r>
        <w:rPr>
          <w:lang w:val="lv-LV"/>
        </w:rPr>
        <w:t>divi tūkstoši</w:t>
      </w:r>
      <w:r w:rsidRPr="00B518EF">
        <w:t xml:space="preserve"> </w:t>
      </w:r>
      <w:proofErr w:type="spellStart"/>
      <w:r w:rsidRPr="00B518EF">
        <w:rPr>
          <w:i/>
        </w:rPr>
        <w:t>euro</w:t>
      </w:r>
      <w:proofErr w:type="spellEnd"/>
      <w:r w:rsidRPr="00B518EF">
        <w:t>) apmērā 10 (desmit) darbdienu laikā pēc Pasūtītāja rēķina par līgumsoda samaksu izrakstīšanas dienas.</w:t>
      </w:r>
    </w:p>
    <w:p w:rsidR="009B05FA" w:rsidRPr="00B518EF" w:rsidRDefault="009B05FA" w:rsidP="009B05FA">
      <w:pPr>
        <w:pStyle w:val="11Lgumam"/>
        <w:ind w:left="431" w:hanging="431"/>
      </w:pPr>
      <w:r w:rsidRPr="00B518EF">
        <w:t>Ja Pasūtītājs vienpusēji izbeidz Līgumu pirms Līguma saistību izpildes Līguma</w:t>
      </w:r>
      <w:r>
        <w:rPr>
          <w:lang w:val="lv-LV"/>
        </w:rPr>
        <w:t xml:space="preserve"> </w:t>
      </w:r>
      <w:r>
        <w:rPr>
          <w:lang w:val="lv-LV"/>
        </w:rPr>
        <w:fldChar w:fldCharType="begin"/>
      </w:r>
      <w:r>
        <w:rPr>
          <w:lang w:val="lv-LV"/>
        </w:rPr>
        <w:instrText xml:space="preserve"> REF _Ref336249906 \r \h </w:instrText>
      </w:r>
      <w:r>
        <w:rPr>
          <w:lang w:val="lv-LV"/>
        </w:rPr>
      </w:r>
      <w:r>
        <w:rPr>
          <w:lang w:val="lv-LV"/>
        </w:rPr>
        <w:fldChar w:fldCharType="separate"/>
      </w:r>
      <w:r>
        <w:rPr>
          <w:lang w:val="lv-LV"/>
        </w:rPr>
        <w:t>6.4</w:t>
      </w:r>
      <w:r>
        <w:rPr>
          <w:lang w:val="lv-LV"/>
        </w:rPr>
        <w:fldChar w:fldCharType="end"/>
      </w:r>
      <w:r w:rsidRPr="00B518EF">
        <w:t xml:space="preserve">. punktā noteiktajos gadījumos, Piegādātājs maksā Pasūtītājam līgumsodu </w:t>
      </w:r>
      <w:r>
        <w:t>2 0</w:t>
      </w:r>
      <w:r w:rsidRPr="00B518EF">
        <w:t>00,00 EUR (</w:t>
      </w:r>
      <w:r>
        <w:rPr>
          <w:lang w:val="lv-LV"/>
        </w:rPr>
        <w:t>divi tūkstoši</w:t>
      </w:r>
      <w:r w:rsidRPr="00B518EF">
        <w:t xml:space="preserve"> </w:t>
      </w:r>
      <w:proofErr w:type="spellStart"/>
      <w:r w:rsidRPr="00B518EF">
        <w:rPr>
          <w:i/>
        </w:rPr>
        <w:t>euro</w:t>
      </w:r>
      <w:proofErr w:type="spellEnd"/>
      <w:r w:rsidRPr="00B518EF">
        <w:t>) apmērā 10 (desmit) darbdienu laikā pēc Pasūtītāja rēķina par līgumsoda samaksu izrakstīšanas dienas.</w:t>
      </w:r>
    </w:p>
    <w:p w:rsidR="009B05FA" w:rsidRPr="00B518EF" w:rsidRDefault="009B05FA" w:rsidP="009B05FA">
      <w:pPr>
        <w:pStyle w:val="11Lgumam"/>
        <w:ind w:left="431" w:hanging="431"/>
      </w:pPr>
      <w:r w:rsidRPr="00B518EF">
        <w:t xml:space="preserve">Ja Piegādātājs nav veicis līgumsoda apmaksu, Pasūtītājam ir tiesības vienpusēji, bez </w:t>
      </w:r>
      <w:r>
        <w:rPr>
          <w:lang w:val="lv-LV"/>
        </w:rPr>
        <w:t>Pušu</w:t>
      </w:r>
      <w:r w:rsidRPr="00B518EF">
        <w:t xml:space="preserve"> rakstiskas vienošanās, ieturēt attiecīgu naudas summu no Piegādātājam veicamajām apmaksām.</w:t>
      </w:r>
    </w:p>
    <w:p w:rsidR="009B05FA" w:rsidRPr="00B518EF" w:rsidRDefault="009B05FA" w:rsidP="009B05FA">
      <w:pPr>
        <w:pStyle w:val="11Lgumam"/>
        <w:ind w:left="431" w:hanging="431"/>
      </w:pPr>
      <w:r w:rsidRPr="00B518EF">
        <w:lastRenderedPageBreak/>
        <w:t>Līgu</w:t>
      </w:r>
      <w:r>
        <w:t>msoda samaksa neatbrīvo Puses no Līguma izpildes un Puses</w:t>
      </w:r>
      <w:r w:rsidRPr="00B518EF">
        <w:t xml:space="preserve"> var prasīt kā līgumsoda, tā arī Līguma noteikumu izpildīšanu.</w:t>
      </w:r>
    </w:p>
    <w:p w:rsidR="009B05FA" w:rsidRDefault="009B05FA" w:rsidP="009B05FA">
      <w:pPr>
        <w:pStyle w:val="11Lgumam"/>
        <w:ind w:left="431" w:hanging="431"/>
      </w:pPr>
      <w:r>
        <w:t>Puses ir atbildīgas</w:t>
      </w:r>
      <w:r w:rsidRPr="00B518EF">
        <w:t xml:space="preserve"> par to darb</w:t>
      </w:r>
      <w:r>
        <w:t>ības/bezdarbības rezultātā otrai Pusei</w:t>
      </w:r>
      <w:r w:rsidRPr="00B518EF">
        <w:t xml:space="preserve"> nodarītajiem tiešajiem zaudējumiem.</w:t>
      </w:r>
    </w:p>
    <w:p w:rsidR="009B05FA" w:rsidRPr="00FF4360" w:rsidRDefault="009B05FA" w:rsidP="009B05FA">
      <w:pPr>
        <w:pStyle w:val="1Lgumam"/>
        <w:keepNext/>
        <w:numPr>
          <w:ilvl w:val="0"/>
          <w:numId w:val="1"/>
        </w:numPr>
        <w:tabs>
          <w:tab w:val="clear" w:pos="426"/>
        </w:tabs>
        <w:spacing w:after="0"/>
      </w:pPr>
      <w:r>
        <w:rPr>
          <w:lang w:val="lv-LV"/>
        </w:rPr>
        <w:t>LĪGUMA DARBĪBA</w:t>
      </w:r>
    </w:p>
    <w:p w:rsidR="009B05FA" w:rsidRDefault="009B05FA" w:rsidP="009B05FA">
      <w:pPr>
        <w:pStyle w:val="11Lgumam"/>
        <w:ind w:left="431" w:hanging="431"/>
      </w:pPr>
      <w:r w:rsidRPr="00FF4360">
        <w:t>Līgums stājas spēkā ar tā abpusējas parakstīšanas brīdi un darbojas līdz Pušu savstarpējo saistību pilnīgai izpildei.</w:t>
      </w:r>
    </w:p>
    <w:p w:rsidR="009B05FA" w:rsidRPr="00FF4360" w:rsidRDefault="009B05FA" w:rsidP="009B05FA">
      <w:pPr>
        <w:pStyle w:val="11Lgumam"/>
        <w:ind w:left="431" w:hanging="431"/>
      </w:pPr>
      <w:r w:rsidRPr="00FF4360">
        <w:t xml:space="preserve">Līguma noteikumi var tikt grozīti, Pusēm vienojoties. Visi Līguma grozījumi noformējami rakstiski divos identiskos eksemplāros un pievienojami Līgumam kā neatņemama sastāvdaļa. Viens vienošanās eksemplārs glabājas pie Pasūtītāja, bet otrs pie </w:t>
      </w:r>
      <w:r>
        <w:rPr>
          <w:lang w:val="lv-LV"/>
        </w:rPr>
        <w:t>Piegādātāja</w:t>
      </w:r>
      <w:r w:rsidRPr="00FF4360">
        <w:t>.</w:t>
      </w:r>
    </w:p>
    <w:p w:rsidR="009B05FA" w:rsidRDefault="009B05FA" w:rsidP="009B05FA">
      <w:pPr>
        <w:pStyle w:val="11Lgumam"/>
        <w:ind w:left="431" w:hanging="431"/>
      </w:pPr>
      <w:r w:rsidRPr="00FF4360">
        <w:t>Līguma grozījumi stājas spēkā ar dienu, kad tie ir abpusēji parakstīti.</w:t>
      </w:r>
    </w:p>
    <w:p w:rsidR="009B05FA" w:rsidRPr="008D3E0F" w:rsidRDefault="009B05FA" w:rsidP="009B05FA">
      <w:pPr>
        <w:pStyle w:val="11Lgumam"/>
        <w:ind w:left="431" w:hanging="431"/>
      </w:pPr>
      <w:bookmarkStart w:id="6" w:name="_Ref336249906"/>
      <w:bookmarkStart w:id="7" w:name="_Toc336440110"/>
      <w:r w:rsidRPr="008D3E0F">
        <w:t>Pasūtītājam ir tiesības vienpusēji izbeigt Līgumu, bez Pušu rakstiskas vienošanās, par to Piegādātājam 10  (desmit) dienas iepriekš rakstveidā paziņojot, ja:</w:t>
      </w:r>
      <w:bookmarkStart w:id="8" w:name="_Toc336440111"/>
      <w:bookmarkStart w:id="9" w:name="_Ref469495091"/>
      <w:bookmarkEnd w:id="6"/>
      <w:bookmarkEnd w:id="7"/>
    </w:p>
    <w:p w:rsidR="009B05FA" w:rsidRPr="00830749" w:rsidRDefault="009B05FA" w:rsidP="009B05FA">
      <w:pPr>
        <w:pStyle w:val="111Lgumam"/>
        <w:numPr>
          <w:ilvl w:val="2"/>
          <w:numId w:val="1"/>
        </w:numPr>
      </w:pPr>
      <w:r w:rsidRPr="00830749">
        <w:t>notikusi Piegādātāja labprātīga vai piespiedu likvidācija;</w:t>
      </w:r>
    </w:p>
    <w:p w:rsidR="009B05FA" w:rsidRPr="00830749" w:rsidRDefault="009B05FA" w:rsidP="009B05FA">
      <w:pPr>
        <w:pStyle w:val="111Lgumam"/>
        <w:numPr>
          <w:ilvl w:val="2"/>
          <w:numId w:val="1"/>
        </w:numPr>
      </w:pPr>
      <w:r>
        <w:t>pret Piegādātāju</w:t>
      </w:r>
      <w:r w:rsidRPr="00830749">
        <w:t xml:space="preserve"> uzsākta maksātnespējas procedūra;</w:t>
      </w:r>
    </w:p>
    <w:p w:rsidR="009B05FA" w:rsidRPr="00830749" w:rsidRDefault="009B05FA" w:rsidP="009B05FA">
      <w:pPr>
        <w:pStyle w:val="111Lgumam"/>
        <w:numPr>
          <w:ilvl w:val="2"/>
          <w:numId w:val="1"/>
        </w:numPr>
      </w:pPr>
      <w:r w:rsidRPr="00830749">
        <w:t>Piegādātājs kavējis Pre</w:t>
      </w:r>
      <w:r>
        <w:t>ces piegādes termiņu ilgāk par 10 (desmit</w:t>
      </w:r>
      <w:r w:rsidRPr="00830749">
        <w:t>) dienām;</w:t>
      </w:r>
    </w:p>
    <w:p w:rsidR="009B05FA" w:rsidRPr="00830749" w:rsidRDefault="009B05FA" w:rsidP="009B05FA">
      <w:pPr>
        <w:pStyle w:val="111Lgumam"/>
        <w:numPr>
          <w:ilvl w:val="2"/>
          <w:numId w:val="1"/>
        </w:numPr>
      </w:pPr>
      <w:r w:rsidRPr="00796836">
        <w:t>Piegādātājs ir nepamatoti atteicis Līguma noteikumiem neatbilstošas vai nekvalitatīvas Preces apmaiņu, ko apliecina Līgumā n</w:t>
      </w:r>
      <w:r>
        <w:t>oteiktā kārtībā sagatavots akts.</w:t>
      </w:r>
    </w:p>
    <w:bookmarkEnd w:id="8"/>
    <w:bookmarkEnd w:id="9"/>
    <w:p w:rsidR="009B05FA" w:rsidRPr="00FF4360" w:rsidRDefault="009B05FA" w:rsidP="009B05FA">
      <w:pPr>
        <w:pStyle w:val="11Lgumam"/>
        <w:ind w:left="431" w:hanging="431"/>
      </w:pPr>
      <w:r w:rsidRPr="008D3E0F">
        <w:t>Ja Līgums tiek izbeigts, Pasūtītājs samaks</w:t>
      </w:r>
      <w:r>
        <w:t>ā Pieg</w:t>
      </w:r>
      <w:r>
        <w:rPr>
          <w:lang w:val="lv-LV"/>
        </w:rPr>
        <w:t>ādātājam</w:t>
      </w:r>
      <w:r w:rsidRPr="008D3E0F">
        <w:t xml:space="preserve"> par </w:t>
      </w:r>
      <w:r>
        <w:rPr>
          <w:lang w:val="lv-LV"/>
        </w:rPr>
        <w:t>Preci</w:t>
      </w:r>
      <w:r w:rsidRPr="008D3E0F">
        <w:t xml:space="preserve"> tādā apjomā, kā </w:t>
      </w:r>
      <w:r>
        <w:rPr>
          <w:lang w:val="lv-LV"/>
        </w:rPr>
        <w:t>tā piegādāta</w:t>
      </w:r>
      <w:r w:rsidRPr="008D3E0F">
        <w:t xml:space="preserve"> atbilstoši Līguma noteikumiem uz Līguma izbeigšanas dienu saskaņā ar Līgumā noteikto kārtību.</w:t>
      </w:r>
    </w:p>
    <w:p w:rsidR="009B05FA" w:rsidRPr="00FF4360" w:rsidRDefault="009B05FA" w:rsidP="009B05FA">
      <w:pPr>
        <w:pStyle w:val="1Lgumam"/>
        <w:numPr>
          <w:ilvl w:val="0"/>
          <w:numId w:val="1"/>
        </w:numPr>
        <w:tabs>
          <w:tab w:val="clear" w:pos="426"/>
        </w:tabs>
        <w:spacing w:before="0" w:after="0"/>
        <w:ind w:left="0" w:firstLine="0"/>
      </w:pPr>
      <w:r w:rsidRPr="00FF4360">
        <w:t xml:space="preserve">NEPĀRVARAMA </w:t>
      </w:r>
      <w:r>
        <w:t>VARA</w:t>
      </w:r>
    </w:p>
    <w:p w:rsidR="009B05FA" w:rsidRPr="008D3E0F" w:rsidRDefault="009B05FA" w:rsidP="009B05FA">
      <w:pPr>
        <w:pStyle w:val="11Lgumam"/>
        <w:ind w:left="431" w:hanging="431"/>
      </w:pPr>
      <w:r w:rsidRPr="008D3E0F">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B05FA" w:rsidRPr="008D3E0F" w:rsidRDefault="009B05FA" w:rsidP="009B05FA">
      <w:pPr>
        <w:pStyle w:val="11Lgumam"/>
        <w:ind w:left="431" w:hanging="431"/>
      </w:pPr>
      <w:r w:rsidRPr="008D3E0F">
        <w:t>Pusei, kura atsaucas uz nepārvaramu varu, nekavējoties par to jāpaziņo otrai Pusei, norādot kādā termiņā, pēc tās domām, ir paredzama saistību izpilde.</w:t>
      </w:r>
    </w:p>
    <w:p w:rsidR="009B05FA" w:rsidRPr="008D3E0F" w:rsidRDefault="009B05FA" w:rsidP="009B05FA">
      <w:pPr>
        <w:pStyle w:val="11Lgumam"/>
        <w:ind w:left="431" w:hanging="431"/>
      </w:pPr>
      <w:r w:rsidRPr="008D3E0F">
        <w:t>Ja kādu no Pusēm neapmierina laika periods, par kuru tiek pagarināts saistību izpildes termiņš iepriekšējos punktos minētās nepārvaramās varas dēļ, katra no Pusēm patur sev tiesības vienpusēji izbeigt Līgumu, par to nekavējoties rakstiski informējot otru Pusi.</w:t>
      </w:r>
    </w:p>
    <w:p w:rsidR="009B05FA" w:rsidRPr="00FF4360" w:rsidRDefault="009B05FA" w:rsidP="009B05FA">
      <w:pPr>
        <w:pStyle w:val="11Lgumam"/>
        <w:numPr>
          <w:ilvl w:val="0"/>
          <w:numId w:val="0"/>
        </w:numPr>
        <w:ind w:left="567"/>
        <w:rPr>
          <w:color w:val="000000"/>
          <w:spacing w:val="3"/>
          <w:lang w:eastAsia="zh-CN"/>
        </w:rPr>
      </w:pPr>
    </w:p>
    <w:p w:rsidR="009B05FA" w:rsidRPr="00FF4360" w:rsidRDefault="009B05FA" w:rsidP="009B05FA">
      <w:pPr>
        <w:pStyle w:val="1Lgumam"/>
        <w:numPr>
          <w:ilvl w:val="0"/>
          <w:numId w:val="1"/>
        </w:numPr>
        <w:tabs>
          <w:tab w:val="clear" w:pos="426"/>
        </w:tabs>
        <w:spacing w:before="0" w:after="0"/>
        <w:ind w:left="0" w:firstLine="0"/>
      </w:pPr>
      <w:r w:rsidRPr="00FF4360">
        <w:t>STRĪDU RISINĀŠANAS KĀRTĪBA</w:t>
      </w:r>
    </w:p>
    <w:p w:rsidR="009B05FA" w:rsidRPr="00FF4360" w:rsidRDefault="009B05FA" w:rsidP="009B05FA">
      <w:pPr>
        <w:pStyle w:val="11Lgumam"/>
        <w:ind w:left="567" w:hanging="567"/>
      </w:pPr>
      <w:r w:rsidRPr="00FF4360">
        <w:rPr>
          <w:color w:val="000000"/>
          <w:spacing w:val="3"/>
          <w:lang w:eastAsia="zh-CN"/>
        </w:rPr>
        <w:t>Jebkuri</w:t>
      </w:r>
      <w:r w:rsidRPr="00FF4360">
        <w:t xml:space="preserve"> no Līguma izrietoši strīdi, kas rodas starp Pusēm, tiek sākotnēji risināti savstarpēju sarunu ceļā.</w:t>
      </w:r>
    </w:p>
    <w:p w:rsidR="009B05FA" w:rsidRPr="00FF4360" w:rsidRDefault="009B05FA" w:rsidP="009B05FA">
      <w:pPr>
        <w:pStyle w:val="11Lgumam"/>
        <w:ind w:left="567" w:hanging="567"/>
      </w:pPr>
      <w:r w:rsidRPr="00FF4360">
        <w:t>No Līguma izrietošās saistības ir apspriežamas atbilstoši Latvijas Republikas normatīvajiem aktiem.</w:t>
      </w:r>
    </w:p>
    <w:p w:rsidR="009B05FA" w:rsidRPr="00FF4360" w:rsidRDefault="009B05FA" w:rsidP="009B05FA">
      <w:pPr>
        <w:pStyle w:val="11Lgumam"/>
        <w:ind w:left="567" w:hanging="567"/>
      </w:pPr>
      <w:r w:rsidRPr="00FF4360">
        <w:t>Ja 40</w:t>
      </w:r>
      <w:r w:rsidRPr="00FF4360">
        <w:rPr>
          <w:lang w:val="lv-LV"/>
        </w:rPr>
        <w:t> </w:t>
      </w:r>
      <w:r w:rsidRPr="00FF4360">
        <w:t>(četrdesmit) dienu laikā strīdu nav iespējams atrisināt sarunu ceļā, tas tiek risināts Latvijas Republikas tiesā saskaņā ar Latvijas Republikā spēkā esošajiem normatīvajiem aktiem.</w:t>
      </w:r>
    </w:p>
    <w:p w:rsidR="009B05FA" w:rsidRDefault="009B05FA" w:rsidP="009B05FA">
      <w:pPr>
        <w:pStyle w:val="11Lgumam"/>
        <w:ind w:left="567" w:hanging="567"/>
      </w:pPr>
      <w:r w:rsidRPr="00FF4360">
        <w:rPr>
          <w:color w:val="000000"/>
          <w:spacing w:val="3"/>
          <w:lang w:eastAsia="zh-CN"/>
        </w:rPr>
        <w:t>Jautājumi</w:t>
      </w:r>
      <w:r w:rsidRPr="00FF4360">
        <w:t>, kas nav atrunāti Līgumā, tiek apspriesti un risināti saskaņā ar Latvijas Republikā spēkā esošajiem normatīvajiem aktiem.</w:t>
      </w:r>
    </w:p>
    <w:p w:rsidR="009B05FA" w:rsidRPr="00FF4360" w:rsidRDefault="009B05FA" w:rsidP="009B05FA">
      <w:pPr>
        <w:pStyle w:val="11Lgumam"/>
        <w:numPr>
          <w:ilvl w:val="0"/>
          <w:numId w:val="0"/>
        </w:numPr>
        <w:ind w:left="567"/>
      </w:pPr>
    </w:p>
    <w:p w:rsidR="009B05FA" w:rsidRPr="00FF4360" w:rsidRDefault="009B05FA" w:rsidP="009B05FA">
      <w:pPr>
        <w:pStyle w:val="1Lgumam"/>
        <w:numPr>
          <w:ilvl w:val="0"/>
          <w:numId w:val="1"/>
        </w:numPr>
        <w:tabs>
          <w:tab w:val="clear" w:pos="426"/>
        </w:tabs>
        <w:spacing w:before="0" w:after="0"/>
        <w:ind w:left="0" w:firstLine="0"/>
      </w:pPr>
      <w:r w:rsidRPr="00FF4360">
        <w:t>CITI NOTEIKUMI</w:t>
      </w:r>
    </w:p>
    <w:p w:rsidR="009B05FA" w:rsidRPr="000A12D7" w:rsidRDefault="009B05FA" w:rsidP="009B05FA">
      <w:pPr>
        <w:pStyle w:val="11Lgumam"/>
        <w:ind w:left="431" w:hanging="431"/>
      </w:pPr>
      <w:r w:rsidRPr="000A12D7">
        <w:t>Kādam no Līguma noteikumiem zaudējot spēku normatīvo aktu izmaiņu gadījumā, Līgums nezaudē spēku tā pārējos punktos, un šādā gadījumā Pusēm ir pienākums piemērot Līgumu saskaņā ar spēkā esošo normatīvo aktu prasībām.</w:t>
      </w:r>
    </w:p>
    <w:p w:rsidR="009B05FA" w:rsidRPr="000A12D7" w:rsidRDefault="009B05FA" w:rsidP="009B05FA">
      <w:pPr>
        <w:pStyle w:val="11Lgumam"/>
        <w:ind w:left="431" w:hanging="431"/>
      </w:pPr>
      <w:r w:rsidRPr="000A12D7">
        <w:lastRenderedPageBreak/>
        <w:t xml:space="preserve">Ja </w:t>
      </w:r>
      <w:r>
        <w:rPr>
          <w:lang w:val="lv-LV"/>
        </w:rPr>
        <w:t>Piegādātājs</w:t>
      </w:r>
      <w:r w:rsidRPr="000A12D7">
        <w:t xml:space="preserve"> tiek reorganizēts, Līgums paliek spēkā un tā noteikumi ir saistoši tā saistību un tiesību pārņēmējam.</w:t>
      </w:r>
    </w:p>
    <w:p w:rsidR="009B05FA" w:rsidRPr="000A12D7" w:rsidRDefault="009B05FA" w:rsidP="009B05FA">
      <w:pPr>
        <w:pStyle w:val="11Lgumam"/>
        <w:ind w:left="431" w:hanging="431"/>
      </w:pPr>
      <w:r w:rsidRPr="000A12D7">
        <w:t>Puses nav tiesīgas pilnīgi vai daļēji nodot Līgumā noteiktās tiesības, pienākumus un saistības trešajām personām bez otras Puses rakstiskas piekrišanas.</w:t>
      </w:r>
    </w:p>
    <w:p w:rsidR="009B05FA" w:rsidRPr="001F5F84" w:rsidRDefault="009B05FA" w:rsidP="009B05FA">
      <w:pPr>
        <w:pStyle w:val="11Lgumam"/>
        <w:ind w:left="431" w:hanging="431"/>
      </w:pPr>
      <w:r>
        <w:rPr>
          <w:lang w:val="lv-LV"/>
        </w:rPr>
        <w:t>Puses nosaka šādas kontaktpersonas Līguma izpildes uzraudzībā:</w:t>
      </w:r>
    </w:p>
    <w:p w:rsidR="009B05FA" w:rsidRDefault="00A6702F" w:rsidP="009B05FA">
      <w:pPr>
        <w:pStyle w:val="111Lgumam"/>
        <w:numPr>
          <w:ilvl w:val="2"/>
          <w:numId w:val="1"/>
        </w:numPr>
      </w:pPr>
      <w:r>
        <w:t xml:space="preserve">no Pasūtītāja  puses: </w:t>
      </w:r>
      <w:r w:rsidRPr="00A6702F">
        <w:rPr>
          <w:b/>
        </w:rPr>
        <w:t>Žanete Salzirne</w:t>
      </w:r>
      <w:r>
        <w:t xml:space="preserve">, tālr. +371 25663647, e-pasts: </w:t>
      </w:r>
      <w:hyperlink r:id="rId6" w:history="1">
        <w:r w:rsidRPr="00302F06">
          <w:rPr>
            <w:rStyle w:val="Hyperlink"/>
          </w:rPr>
          <w:t>zanete.salzirne@marupe.lv</w:t>
        </w:r>
      </w:hyperlink>
      <w:r>
        <w:t xml:space="preserve"> </w:t>
      </w:r>
      <w:r w:rsidR="009B05FA">
        <w:t>;</w:t>
      </w:r>
    </w:p>
    <w:p w:rsidR="009B05FA" w:rsidRDefault="00A6702F" w:rsidP="009B05FA">
      <w:pPr>
        <w:pStyle w:val="111Lgumam"/>
        <w:numPr>
          <w:ilvl w:val="2"/>
          <w:numId w:val="1"/>
        </w:numPr>
      </w:pPr>
      <w:r>
        <w:t xml:space="preserve">no Piegādātāja puses: </w:t>
      </w:r>
      <w:r w:rsidRPr="00A6702F">
        <w:rPr>
          <w:b/>
        </w:rPr>
        <w:t>Vilnis Burtnieks</w:t>
      </w:r>
      <w:r>
        <w:t xml:space="preserve">, tālr. +371 67299094, e-pasts: </w:t>
      </w:r>
      <w:hyperlink r:id="rId7" w:history="1">
        <w:r w:rsidRPr="00302F06">
          <w:rPr>
            <w:rStyle w:val="Hyperlink"/>
          </w:rPr>
          <w:t>adam@adam.lv</w:t>
        </w:r>
      </w:hyperlink>
      <w:r>
        <w:t xml:space="preserve">. </w:t>
      </w:r>
    </w:p>
    <w:p w:rsidR="009B05FA" w:rsidRDefault="009B05FA" w:rsidP="009B05FA">
      <w:pPr>
        <w:pStyle w:val="11Lgumam"/>
        <w:ind w:left="431" w:hanging="431"/>
      </w:pPr>
      <w:r w:rsidRPr="006B2005">
        <w:t xml:space="preserve">Līgums ir sagatavots un parakstīts uz </w:t>
      </w:r>
      <w:r w:rsidR="00A6702F">
        <w:rPr>
          <w:lang w:val="lv-LV"/>
        </w:rPr>
        <w:t xml:space="preserve">8 (astoņām) </w:t>
      </w:r>
      <w:r w:rsidR="00A6702F">
        <w:t>lapām, tajā skaitā pielikumi</w:t>
      </w:r>
      <w:r w:rsidRPr="006B2005">
        <w:t xml:space="preserve"> uz </w:t>
      </w:r>
      <w:r w:rsidR="00A6702F">
        <w:rPr>
          <w:lang w:val="lv-LV"/>
        </w:rPr>
        <w:t>4 (četrām)</w:t>
      </w:r>
      <w:r w:rsidRPr="006B2005">
        <w:t xml:space="preserve"> lapām.</w:t>
      </w:r>
      <w:r w:rsidRPr="00FF4360">
        <w:t xml:space="preserve"> Līgums sagatavots 2</w:t>
      </w:r>
      <w:r w:rsidRPr="00FF4360">
        <w:rPr>
          <w:lang w:val="lv-LV"/>
        </w:rPr>
        <w:t> </w:t>
      </w:r>
      <w:r w:rsidRPr="00FF4360">
        <w:t>(divos) vienādos eksemplāros, katrai Pusei pa vienam Līguma eksemplāram. Abiem Līguma eksemplāriem ir vienāds juridisks spēks.</w:t>
      </w:r>
    </w:p>
    <w:p w:rsidR="009B05FA" w:rsidRPr="00FF4360" w:rsidRDefault="009B05FA" w:rsidP="009B05FA">
      <w:pPr>
        <w:pStyle w:val="11Lgumam"/>
        <w:numPr>
          <w:ilvl w:val="0"/>
          <w:numId w:val="0"/>
        </w:numPr>
        <w:ind w:left="567"/>
      </w:pPr>
    </w:p>
    <w:p w:rsidR="009B05FA" w:rsidRPr="00FF4360" w:rsidRDefault="009B05FA" w:rsidP="009B05FA">
      <w:pPr>
        <w:pStyle w:val="1Lgumam"/>
        <w:numPr>
          <w:ilvl w:val="0"/>
          <w:numId w:val="1"/>
        </w:numPr>
        <w:tabs>
          <w:tab w:val="clear" w:pos="426"/>
        </w:tabs>
        <w:spacing w:before="0" w:after="0"/>
        <w:ind w:left="0" w:firstLine="0"/>
      </w:pPr>
      <w:r w:rsidRPr="00FF4360">
        <w:t>PUŠU JURIDISKĀS ADRESES</w:t>
      </w:r>
    </w:p>
    <w:tbl>
      <w:tblPr>
        <w:tblW w:w="0" w:type="auto"/>
        <w:tblLook w:val="04A0" w:firstRow="1" w:lastRow="0" w:firstColumn="1" w:lastColumn="0" w:noHBand="0" w:noVBand="1"/>
      </w:tblPr>
      <w:tblGrid>
        <w:gridCol w:w="4373"/>
        <w:gridCol w:w="273"/>
        <w:gridCol w:w="4425"/>
      </w:tblGrid>
      <w:tr w:rsidR="009B05FA" w:rsidRPr="009047DB" w:rsidTr="0034244A">
        <w:tc>
          <w:tcPr>
            <w:tcW w:w="4373" w:type="dxa"/>
            <w:shd w:val="clear" w:color="auto" w:fill="auto"/>
          </w:tcPr>
          <w:p w:rsidR="009B05FA" w:rsidRPr="009047DB" w:rsidRDefault="009B05FA" w:rsidP="00D936B0">
            <w:pPr>
              <w:rPr>
                <w:b/>
                <w:bCs/>
                <w:color w:val="000000"/>
              </w:rPr>
            </w:pPr>
            <w:r w:rsidRPr="009047DB">
              <w:rPr>
                <w:b/>
                <w:bCs/>
                <w:color w:val="000000"/>
              </w:rPr>
              <w:t>PASŪTĪTĀJS</w:t>
            </w:r>
          </w:p>
        </w:tc>
        <w:tc>
          <w:tcPr>
            <w:tcW w:w="273" w:type="dxa"/>
            <w:shd w:val="clear" w:color="auto" w:fill="auto"/>
          </w:tcPr>
          <w:p w:rsidR="009B05FA" w:rsidRPr="009047DB" w:rsidRDefault="009B05FA" w:rsidP="00D936B0">
            <w:pPr>
              <w:jc w:val="center"/>
              <w:rPr>
                <w:b/>
                <w:bCs/>
                <w:color w:val="000000"/>
              </w:rPr>
            </w:pPr>
          </w:p>
        </w:tc>
        <w:tc>
          <w:tcPr>
            <w:tcW w:w="4425" w:type="dxa"/>
            <w:shd w:val="clear" w:color="auto" w:fill="auto"/>
          </w:tcPr>
          <w:p w:rsidR="009B05FA" w:rsidRPr="009047DB" w:rsidRDefault="009B05FA" w:rsidP="00D936B0">
            <w:pPr>
              <w:rPr>
                <w:b/>
                <w:bCs/>
                <w:color w:val="000000"/>
              </w:rPr>
            </w:pPr>
            <w:r>
              <w:rPr>
                <w:b/>
                <w:bCs/>
                <w:color w:val="000000"/>
              </w:rPr>
              <w:t>PIEGĀDĀTĀJS</w:t>
            </w:r>
          </w:p>
        </w:tc>
      </w:tr>
      <w:tr w:rsidR="009B05FA" w:rsidRPr="009047DB" w:rsidTr="0034244A">
        <w:tc>
          <w:tcPr>
            <w:tcW w:w="4373" w:type="dxa"/>
            <w:shd w:val="clear" w:color="auto" w:fill="auto"/>
          </w:tcPr>
          <w:p w:rsidR="009B05FA" w:rsidRPr="009047DB" w:rsidRDefault="009B05FA" w:rsidP="00D936B0">
            <w:pPr>
              <w:rPr>
                <w:b/>
              </w:rPr>
            </w:pPr>
            <w:r w:rsidRPr="009047DB">
              <w:rPr>
                <w:b/>
              </w:rPr>
              <w:t>Mārupes novada Dome</w:t>
            </w:r>
          </w:p>
          <w:p w:rsidR="009B05FA" w:rsidRPr="009047DB" w:rsidRDefault="009B05FA" w:rsidP="00D936B0">
            <w:pPr>
              <w:rPr>
                <w:color w:val="000000"/>
              </w:rPr>
            </w:pPr>
            <w:proofErr w:type="spellStart"/>
            <w:r w:rsidRPr="009047DB">
              <w:rPr>
                <w:color w:val="000000"/>
              </w:rPr>
              <w:t>Reģ</w:t>
            </w:r>
            <w:proofErr w:type="spellEnd"/>
            <w:r w:rsidRPr="009047DB">
              <w:rPr>
                <w:color w:val="000000"/>
              </w:rPr>
              <w:t>. Nr. 90000012827</w:t>
            </w:r>
          </w:p>
          <w:p w:rsidR="009B05FA" w:rsidRPr="009047DB" w:rsidRDefault="009B05FA" w:rsidP="00D936B0">
            <w:r w:rsidRPr="009047DB">
              <w:t>Daugavas iela 29, Mārupe,</w:t>
            </w:r>
          </w:p>
          <w:p w:rsidR="009B05FA" w:rsidRPr="009047DB" w:rsidRDefault="009B05FA" w:rsidP="00D936B0">
            <w:r w:rsidRPr="009047DB">
              <w:t>Mārupes novads, LV-2167</w:t>
            </w:r>
          </w:p>
          <w:p w:rsidR="009B05FA" w:rsidRPr="009047DB" w:rsidRDefault="009B05FA" w:rsidP="00D936B0">
            <w:r w:rsidRPr="009047DB">
              <w:rPr>
                <w:color w:val="000000"/>
              </w:rPr>
              <w:t>A</w:t>
            </w:r>
            <w:r>
              <w:rPr>
                <w:color w:val="000000"/>
              </w:rPr>
              <w:t>S ”SEB banka”</w:t>
            </w:r>
            <w:r w:rsidRPr="009047DB">
              <w:t xml:space="preserve"> </w:t>
            </w:r>
          </w:p>
          <w:p w:rsidR="009B05FA" w:rsidRPr="009047DB" w:rsidRDefault="009B05FA" w:rsidP="00D936B0">
            <w:pPr>
              <w:rPr>
                <w:b/>
                <w:bCs/>
                <w:color w:val="000000"/>
              </w:rPr>
            </w:pPr>
            <w:r w:rsidRPr="009047DB">
              <w:rPr>
                <w:color w:val="000000"/>
              </w:rPr>
              <w:t>Konts</w:t>
            </w:r>
            <w:r w:rsidR="00E115F6">
              <w:rPr>
                <w:color w:val="000000"/>
              </w:rPr>
              <w:t xml:space="preserve">: </w:t>
            </w:r>
            <w:r w:rsidRPr="009047DB">
              <w:rPr>
                <w:color w:val="000000"/>
              </w:rPr>
              <w:t>LV69 UNLA 0003 0111 3040 5</w:t>
            </w:r>
          </w:p>
        </w:tc>
        <w:tc>
          <w:tcPr>
            <w:tcW w:w="273" w:type="dxa"/>
            <w:shd w:val="clear" w:color="auto" w:fill="auto"/>
          </w:tcPr>
          <w:p w:rsidR="009B05FA" w:rsidRPr="009047DB" w:rsidRDefault="009B05FA" w:rsidP="00D936B0">
            <w:pPr>
              <w:rPr>
                <w:b/>
                <w:bCs/>
                <w:color w:val="000000"/>
              </w:rPr>
            </w:pPr>
          </w:p>
        </w:tc>
        <w:tc>
          <w:tcPr>
            <w:tcW w:w="4425" w:type="dxa"/>
            <w:shd w:val="clear" w:color="auto" w:fill="auto"/>
          </w:tcPr>
          <w:p w:rsidR="009B05FA" w:rsidRDefault="00A6702F" w:rsidP="00D936B0">
            <w:pPr>
              <w:rPr>
                <w:b/>
              </w:rPr>
            </w:pPr>
            <w:proofErr w:type="spellStart"/>
            <w:r>
              <w:rPr>
                <w:b/>
              </w:rPr>
              <w:t>Aktsiaselts</w:t>
            </w:r>
            <w:proofErr w:type="spellEnd"/>
            <w:r>
              <w:rPr>
                <w:b/>
              </w:rPr>
              <w:t xml:space="preserve"> Adam </w:t>
            </w:r>
            <w:proofErr w:type="spellStart"/>
            <w:r>
              <w:rPr>
                <w:b/>
              </w:rPr>
              <w:t>Bd</w:t>
            </w:r>
            <w:proofErr w:type="spellEnd"/>
            <w:r>
              <w:rPr>
                <w:b/>
              </w:rPr>
              <w:t xml:space="preserve"> filiāle “Adam </w:t>
            </w:r>
            <w:proofErr w:type="spellStart"/>
            <w:r>
              <w:rPr>
                <w:b/>
              </w:rPr>
              <w:t>Decolight</w:t>
            </w:r>
            <w:proofErr w:type="spellEnd"/>
            <w:r>
              <w:rPr>
                <w:b/>
              </w:rPr>
              <w:t xml:space="preserve"> Latvia”</w:t>
            </w:r>
          </w:p>
          <w:p w:rsidR="00A6702F" w:rsidRDefault="00A6702F" w:rsidP="00D936B0">
            <w:proofErr w:type="spellStart"/>
            <w:r w:rsidRPr="00A6702F">
              <w:t>Reģ</w:t>
            </w:r>
            <w:proofErr w:type="spellEnd"/>
            <w:r w:rsidRPr="00A6702F">
              <w:t>. Nr. 50103239701</w:t>
            </w:r>
          </w:p>
          <w:p w:rsidR="00A6702F" w:rsidRDefault="00A6702F" w:rsidP="00D936B0">
            <w:r>
              <w:t>Zemitāna iela 9, Rīga, LV-1012</w:t>
            </w:r>
          </w:p>
          <w:p w:rsidR="00E115F6" w:rsidRDefault="00E115F6" w:rsidP="00D936B0">
            <w:r>
              <w:t>AS “Swedbank”</w:t>
            </w:r>
          </w:p>
          <w:p w:rsidR="00E115F6" w:rsidRPr="00A6702F" w:rsidRDefault="00E115F6" w:rsidP="00D936B0">
            <w:pPr>
              <w:rPr>
                <w:bCs/>
                <w:color w:val="000000"/>
              </w:rPr>
            </w:pPr>
            <w:r>
              <w:t>Konts: LV93 HABA 0551 0306 7284 7</w:t>
            </w:r>
          </w:p>
        </w:tc>
      </w:tr>
      <w:tr w:rsidR="009B05FA" w:rsidRPr="009047DB" w:rsidTr="0034244A">
        <w:tc>
          <w:tcPr>
            <w:tcW w:w="4373" w:type="dxa"/>
            <w:tcBorders>
              <w:bottom w:val="single" w:sz="4" w:space="0" w:color="auto"/>
            </w:tcBorders>
            <w:shd w:val="clear" w:color="auto" w:fill="auto"/>
          </w:tcPr>
          <w:p w:rsidR="009B05FA" w:rsidRDefault="009B05FA" w:rsidP="00D936B0">
            <w:pPr>
              <w:rPr>
                <w:b/>
                <w:bCs/>
                <w:color w:val="000000"/>
              </w:rPr>
            </w:pPr>
          </w:p>
          <w:p w:rsidR="009B05FA" w:rsidRPr="009047DB" w:rsidRDefault="009B05FA" w:rsidP="00D936B0">
            <w:pPr>
              <w:rPr>
                <w:b/>
                <w:bCs/>
                <w:color w:val="000000"/>
              </w:rPr>
            </w:pPr>
          </w:p>
        </w:tc>
        <w:tc>
          <w:tcPr>
            <w:tcW w:w="273" w:type="dxa"/>
            <w:shd w:val="clear" w:color="auto" w:fill="auto"/>
          </w:tcPr>
          <w:p w:rsidR="009B05FA" w:rsidRPr="009047DB" w:rsidRDefault="009B05FA" w:rsidP="00D936B0">
            <w:pPr>
              <w:rPr>
                <w:b/>
                <w:bCs/>
                <w:color w:val="000000"/>
              </w:rPr>
            </w:pPr>
          </w:p>
        </w:tc>
        <w:tc>
          <w:tcPr>
            <w:tcW w:w="4425" w:type="dxa"/>
            <w:tcBorders>
              <w:bottom w:val="single" w:sz="4" w:space="0" w:color="auto"/>
            </w:tcBorders>
            <w:shd w:val="clear" w:color="auto" w:fill="auto"/>
          </w:tcPr>
          <w:p w:rsidR="009B05FA" w:rsidRPr="009047DB" w:rsidRDefault="009B05FA" w:rsidP="00D936B0">
            <w:pPr>
              <w:rPr>
                <w:b/>
                <w:bCs/>
                <w:color w:val="000000"/>
              </w:rPr>
            </w:pPr>
          </w:p>
        </w:tc>
      </w:tr>
      <w:tr w:rsidR="009B05FA" w:rsidRPr="009047DB" w:rsidTr="0034244A">
        <w:tc>
          <w:tcPr>
            <w:tcW w:w="4373" w:type="dxa"/>
            <w:tcBorders>
              <w:top w:val="single" w:sz="4" w:space="0" w:color="auto"/>
            </w:tcBorders>
            <w:shd w:val="clear" w:color="auto" w:fill="auto"/>
          </w:tcPr>
          <w:p w:rsidR="009B05FA" w:rsidRPr="009047DB" w:rsidRDefault="009B05FA" w:rsidP="00D936B0">
            <w:pPr>
              <w:jc w:val="center"/>
              <w:rPr>
                <w:b/>
                <w:bCs/>
                <w:color w:val="000000"/>
              </w:rPr>
            </w:pPr>
            <w:r w:rsidRPr="009047DB">
              <w:t>/</w:t>
            </w:r>
            <w:r>
              <w:t>K. Ločs</w:t>
            </w:r>
            <w:r w:rsidRPr="009047DB">
              <w:t xml:space="preserve"> /</w:t>
            </w:r>
          </w:p>
        </w:tc>
        <w:tc>
          <w:tcPr>
            <w:tcW w:w="273" w:type="dxa"/>
            <w:shd w:val="clear" w:color="auto" w:fill="auto"/>
          </w:tcPr>
          <w:p w:rsidR="009B05FA" w:rsidRPr="009047DB" w:rsidRDefault="009B05FA" w:rsidP="00D936B0">
            <w:pPr>
              <w:rPr>
                <w:b/>
                <w:bCs/>
                <w:color w:val="000000"/>
              </w:rPr>
            </w:pPr>
          </w:p>
        </w:tc>
        <w:tc>
          <w:tcPr>
            <w:tcW w:w="4425" w:type="dxa"/>
            <w:tcBorders>
              <w:top w:val="single" w:sz="4" w:space="0" w:color="auto"/>
            </w:tcBorders>
            <w:shd w:val="clear" w:color="auto" w:fill="auto"/>
          </w:tcPr>
          <w:p w:rsidR="009B05FA" w:rsidRPr="00E115F6" w:rsidRDefault="009B05FA" w:rsidP="00D936B0">
            <w:pPr>
              <w:jc w:val="center"/>
              <w:rPr>
                <w:bCs/>
                <w:color w:val="000000"/>
              </w:rPr>
            </w:pPr>
            <w:r w:rsidRPr="00E115F6">
              <w:rPr>
                <w:bCs/>
                <w:color w:val="000000"/>
              </w:rPr>
              <w:t>/</w:t>
            </w:r>
            <w:r w:rsidR="00E115F6" w:rsidRPr="00E115F6">
              <w:rPr>
                <w:bCs/>
                <w:color w:val="000000"/>
              </w:rPr>
              <w:t>V. Burtnieks</w:t>
            </w:r>
            <w:r w:rsidRPr="00E115F6">
              <w:rPr>
                <w:bCs/>
                <w:color w:val="000000"/>
              </w:rPr>
              <w:t>/</w:t>
            </w:r>
          </w:p>
        </w:tc>
      </w:tr>
      <w:tr w:rsidR="009B05FA" w:rsidRPr="009047DB" w:rsidTr="0034244A">
        <w:tc>
          <w:tcPr>
            <w:tcW w:w="4373" w:type="dxa"/>
            <w:shd w:val="clear" w:color="auto" w:fill="auto"/>
          </w:tcPr>
          <w:p w:rsidR="009B05FA" w:rsidRPr="009047DB" w:rsidRDefault="009B05FA" w:rsidP="00D936B0">
            <w:pPr>
              <w:jc w:val="center"/>
            </w:pPr>
          </w:p>
        </w:tc>
        <w:tc>
          <w:tcPr>
            <w:tcW w:w="273" w:type="dxa"/>
            <w:shd w:val="clear" w:color="auto" w:fill="auto"/>
          </w:tcPr>
          <w:p w:rsidR="009B05FA" w:rsidRPr="009047DB" w:rsidRDefault="009B05FA" w:rsidP="00D936B0">
            <w:pPr>
              <w:rPr>
                <w:b/>
                <w:bCs/>
                <w:color w:val="000000"/>
              </w:rPr>
            </w:pPr>
          </w:p>
        </w:tc>
        <w:tc>
          <w:tcPr>
            <w:tcW w:w="4425" w:type="dxa"/>
            <w:shd w:val="clear" w:color="auto" w:fill="auto"/>
          </w:tcPr>
          <w:p w:rsidR="009B05FA" w:rsidRPr="009047DB" w:rsidRDefault="009B05FA" w:rsidP="00D936B0">
            <w:pPr>
              <w:jc w:val="center"/>
            </w:pPr>
          </w:p>
        </w:tc>
      </w:tr>
    </w:tbl>
    <w:p w:rsidR="0034244A" w:rsidRDefault="0034244A" w:rsidP="0034244A">
      <w:pPr>
        <w:jc w:val="center"/>
      </w:pPr>
      <w:r>
        <w:t>DOKUMENTS PARAKSTĪTS AR DROŠU ELEKTRONISKO PARAKSTU UN SATUR LAIKA ZĪMOGU</w:t>
      </w:r>
    </w:p>
    <w:p w:rsidR="0034244A" w:rsidRDefault="0034244A">
      <w:pPr>
        <w:spacing w:after="160" w:line="259" w:lineRule="auto"/>
        <w:jc w:val="left"/>
      </w:pPr>
      <w:r>
        <w:br w:type="page"/>
      </w:r>
    </w:p>
    <w:p w:rsidR="00DC5BEF" w:rsidRDefault="001924D3" w:rsidP="001924D3">
      <w:pPr>
        <w:jc w:val="right"/>
      </w:pPr>
      <w:bookmarkStart w:id="10" w:name="_GoBack"/>
      <w:bookmarkEnd w:id="10"/>
      <w:r>
        <w:lastRenderedPageBreak/>
        <w:t>2.</w:t>
      </w:r>
      <w:r w:rsidR="00306C2F">
        <w:t> </w:t>
      </w:r>
      <w:r>
        <w:t>pielikums</w:t>
      </w:r>
    </w:p>
    <w:p w:rsidR="001924D3" w:rsidRDefault="002F2D69" w:rsidP="001924D3">
      <w:pPr>
        <w:jc w:val="right"/>
      </w:pPr>
      <w:r>
        <w:t>Līgumam Nr.13-2/1534</w:t>
      </w:r>
      <w:r w:rsidR="001924D3">
        <w:t>-2018</w:t>
      </w:r>
    </w:p>
    <w:p w:rsidR="001924D3" w:rsidRDefault="001924D3" w:rsidP="001924D3">
      <w:pPr>
        <w:jc w:val="center"/>
      </w:pPr>
    </w:p>
    <w:p w:rsidR="001924D3" w:rsidRDefault="001924D3" w:rsidP="001924D3">
      <w:pPr>
        <w:jc w:val="center"/>
        <w:rPr>
          <w:b/>
        </w:rPr>
      </w:pPr>
      <w:r w:rsidRPr="001924D3">
        <w:rPr>
          <w:b/>
        </w:rPr>
        <w:t>FINANŠU PIEDĀVĀJUMS</w:t>
      </w:r>
    </w:p>
    <w:p w:rsidR="001924D3" w:rsidRPr="001924D3" w:rsidRDefault="001924D3" w:rsidP="001924D3">
      <w:pPr>
        <w:jc w:val="center"/>
        <w:rPr>
          <w:b/>
        </w:rPr>
      </w:pPr>
    </w:p>
    <w:tbl>
      <w:tblPr>
        <w:tblW w:w="8940" w:type="dxa"/>
        <w:tblInd w:w="103" w:type="dxa"/>
        <w:tblLayout w:type="fixed"/>
        <w:tblLook w:val="04A0" w:firstRow="1" w:lastRow="0" w:firstColumn="1" w:lastColumn="0" w:noHBand="0" w:noVBand="1"/>
      </w:tblPr>
      <w:tblGrid>
        <w:gridCol w:w="560"/>
        <w:gridCol w:w="3983"/>
        <w:gridCol w:w="851"/>
        <w:gridCol w:w="1702"/>
        <w:gridCol w:w="1844"/>
      </w:tblGrid>
      <w:tr w:rsidR="001924D3" w:rsidTr="00D936B0">
        <w:trPr>
          <w:trHeight w:val="255"/>
          <w:tblHeader/>
        </w:trPr>
        <w:tc>
          <w:tcPr>
            <w:tcW w:w="560" w:type="dxa"/>
            <w:tcBorders>
              <w:top w:val="single" w:sz="4" w:space="0" w:color="auto"/>
              <w:left w:val="single" w:sz="4" w:space="0" w:color="auto"/>
              <w:bottom w:val="single" w:sz="4" w:space="0" w:color="auto"/>
              <w:right w:val="single" w:sz="4" w:space="0" w:color="auto"/>
            </w:tcBorders>
            <w:vAlign w:val="center"/>
            <w:hideMark/>
          </w:tcPr>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Nr. p.k.</w:t>
            </w:r>
          </w:p>
        </w:tc>
        <w:tc>
          <w:tcPr>
            <w:tcW w:w="3983" w:type="dxa"/>
            <w:tcBorders>
              <w:top w:val="single" w:sz="4" w:space="0" w:color="auto"/>
              <w:left w:val="nil"/>
              <w:bottom w:val="single" w:sz="4" w:space="0" w:color="auto"/>
              <w:right w:val="single" w:sz="4" w:space="0" w:color="auto"/>
            </w:tcBorders>
            <w:vAlign w:val="center"/>
            <w:hideMark/>
          </w:tcPr>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Nosaukums</w:t>
            </w:r>
          </w:p>
        </w:tc>
        <w:tc>
          <w:tcPr>
            <w:tcW w:w="851" w:type="dxa"/>
            <w:tcBorders>
              <w:top w:val="single" w:sz="4" w:space="0" w:color="auto"/>
              <w:left w:val="nil"/>
              <w:bottom w:val="single" w:sz="4" w:space="0" w:color="auto"/>
              <w:right w:val="single" w:sz="4" w:space="0" w:color="auto"/>
            </w:tcBorders>
            <w:vAlign w:val="center"/>
            <w:hideMark/>
          </w:tcPr>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Daudzums</w:t>
            </w:r>
          </w:p>
        </w:tc>
        <w:tc>
          <w:tcPr>
            <w:tcW w:w="1702" w:type="dxa"/>
            <w:tcBorders>
              <w:top w:val="single" w:sz="4" w:space="0" w:color="auto"/>
              <w:left w:val="nil"/>
              <w:bottom w:val="single" w:sz="4" w:space="0" w:color="auto"/>
              <w:right w:val="single" w:sz="4" w:space="0" w:color="auto"/>
            </w:tcBorders>
            <w:vAlign w:val="center"/>
            <w:hideMark/>
          </w:tcPr>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Vienības cena,</w:t>
            </w:r>
          </w:p>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EUR bez PVN</w:t>
            </w:r>
          </w:p>
        </w:tc>
        <w:tc>
          <w:tcPr>
            <w:tcW w:w="1844" w:type="dxa"/>
            <w:tcBorders>
              <w:top w:val="single" w:sz="4" w:space="0" w:color="auto"/>
              <w:left w:val="nil"/>
              <w:bottom w:val="single" w:sz="4" w:space="0" w:color="auto"/>
              <w:right w:val="single" w:sz="4" w:space="0" w:color="auto"/>
            </w:tcBorders>
            <w:vAlign w:val="center"/>
            <w:hideMark/>
          </w:tcPr>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Summa,</w:t>
            </w:r>
          </w:p>
          <w:p w:rsidR="001924D3" w:rsidRDefault="001924D3" w:rsidP="00D936B0">
            <w:pPr>
              <w:widowControl w:val="0"/>
              <w:suppressAutoHyphens/>
              <w:overflowPunct w:val="0"/>
              <w:autoSpaceDE w:val="0"/>
              <w:jc w:val="center"/>
              <w:rPr>
                <w:rFonts w:ascii="LVHelvetica" w:hAnsi="LVHelvetica" w:cs="Arial"/>
                <w:b/>
                <w:bCs/>
                <w:i/>
                <w:kern w:val="2"/>
                <w:sz w:val="22"/>
                <w:szCs w:val="22"/>
                <w:lang w:eastAsia="ar-SA"/>
              </w:rPr>
            </w:pPr>
            <w:r>
              <w:rPr>
                <w:rFonts w:ascii="LVHelvetica" w:hAnsi="LVHelvetica" w:cs="Arial"/>
                <w:b/>
                <w:bCs/>
                <w:i/>
                <w:kern w:val="2"/>
                <w:sz w:val="22"/>
                <w:szCs w:val="22"/>
                <w:lang w:eastAsia="ar-SA"/>
              </w:rPr>
              <w:t>EUR bez PVN</w:t>
            </w:r>
          </w:p>
        </w:tc>
      </w:tr>
      <w:tr w:rsidR="001924D3" w:rsidTr="00D936B0">
        <w:trPr>
          <w:trHeight w:val="104"/>
          <w:tblHeader/>
        </w:trPr>
        <w:tc>
          <w:tcPr>
            <w:tcW w:w="8940" w:type="dxa"/>
            <w:gridSpan w:val="5"/>
            <w:tcBorders>
              <w:top w:val="single" w:sz="4" w:space="0" w:color="auto"/>
              <w:left w:val="single" w:sz="4" w:space="0" w:color="auto"/>
              <w:bottom w:val="single" w:sz="4" w:space="0" w:color="auto"/>
              <w:right w:val="single" w:sz="4" w:space="0" w:color="auto"/>
            </w:tcBorders>
            <w:vAlign w:val="center"/>
          </w:tcPr>
          <w:p w:rsidR="001924D3" w:rsidRDefault="001924D3" w:rsidP="00D936B0">
            <w:pPr>
              <w:widowControl w:val="0"/>
              <w:suppressAutoHyphens/>
              <w:overflowPunct w:val="0"/>
              <w:autoSpaceDE w:val="0"/>
              <w:jc w:val="center"/>
              <w:rPr>
                <w:rFonts w:ascii="LVHelvetica" w:hAnsi="LVHelvetica" w:cs="Arial"/>
                <w:b/>
                <w:bCs/>
                <w:i/>
                <w:kern w:val="2"/>
                <w:sz w:val="16"/>
                <w:szCs w:val="16"/>
                <w:lang w:eastAsia="ar-SA"/>
              </w:rPr>
            </w:pPr>
          </w:p>
        </w:tc>
      </w:tr>
      <w:tr w:rsidR="001924D3"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Default="001924D3" w:rsidP="00D936B0">
            <w:pPr>
              <w:jc w:val="center"/>
              <w:rPr>
                <w:sz w:val="22"/>
                <w:szCs w:val="22"/>
                <w:lang w:eastAsia="x-none"/>
              </w:rPr>
            </w:pPr>
            <w:r>
              <w:rPr>
                <w:sz w:val="22"/>
                <w:szCs w:val="22"/>
                <w:lang w:eastAsia="x-none"/>
              </w:rPr>
              <w:t>1.</w:t>
            </w:r>
          </w:p>
        </w:tc>
        <w:tc>
          <w:tcPr>
            <w:tcW w:w="3983" w:type="dxa"/>
            <w:tcBorders>
              <w:top w:val="single" w:sz="4" w:space="0" w:color="auto"/>
              <w:left w:val="single" w:sz="4" w:space="0" w:color="auto"/>
              <w:bottom w:val="single" w:sz="4" w:space="0" w:color="auto"/>
              <w:right w:val="single" w:sz="4" w:space="0" w:color="auto"/>
            </w:tcBorders>
            <w:hideMark/>
          </w:tcPr>
          <w:p w:rsidR="001924D3" w:rsidRDefault="001924D3" w:rsidP="00D936B0">
            <w:pPr>
              <w:widowControl w:val="0"/>
              <w:suppressAutoHyphens/>
              <w:autoSpaceDE w:val="0"/>
              <w:rPr>
                <w:sz w:val="22"/>
                <w:szCs w:val="22"/>
                <w:lang w:val="x-none" w:eastAsia="lv-LV"/>
              </w:rPr>
            </w:pPr>
            <w:r>
              <w:rPr>
                <w:sz w:val="22"/>
                <w:szCs w:val="22"/>
                <w:lang w:eastAsia="lv-LV"/>
              </w:rPr>
              <w:t>L</w:t>
            </w:r>
            <w:proofErr w:type="spellStart"/>
            <w:r>
              <w:rPr>
                <w:sz w:val="22"/>
                <w:szCs w:val="22"/>
                <w:lang w:val="x-none" w:eastAsia="lv-LV"/>
              </w:rPr>
              <w:t>aternu</w:t>
            </w:r>
            <w:proofErr w:type="spellEnd"/>
            <w:r>
              <w:rPr>
                <w:sz w:val="22"/>
                <w:szCs w:val="22"/>
                <w:lang w:val="x-none" w:eastAsia="lv-LV"/>
              </w:rPr>
              <w:t xml:space="preserve"> dekors</w:t>
            </w:r>
          </w:p>
        </w:tc>
        <w:tc>
          <w:tcPr>
            <w:tcW w:w="851" w:type="dxa"/>
            <w:tcBorders>
              <w:top w:val="single" w:sz="4" w:space="0" w:color="auto"/>
              <w:left w:val="nil"/>
              <w:bottom w:val="single" w:sz="4" w:space="0" w:color="auto"/>
              <w:right w:val="single" w:sz="4" w:space="0" w:color="auto"/>
            </w:tcBorders>
            <w:noWrap/>
            <w:hideMark/>
          </w:tcPr>
          <w:p w:rsidR="001924D3" w:rsidRDefault="001924D3" w:rsidP="00D936B0">
            <w:pPr>
              <w:jc w:val="center"/>
              <w:rPr>
                <w:sz w:val="22"/>
                <w:szCs w:val="22"/>
                <w:lang w:eastAsia="x-none"/>
              </w:rPr>
            </w:pPr>
            <w:r>
              <w:rPr>
                <w:rFonts w:eastAsia="Calibri"/>
                <w:kern w:val="2"/>
                <w:sz w:val="22"/>
                <w:szCs w:val="22"/>
                <w:lang w:eastAsia="ar-SA"/>
              </w:rPr>
              <w:t xml:space="preserve">37 </w:t>
            </w:r>
            <w:proofErr w:type="spellStart"/>
            <w:r>
              <w:rPr>
                <w:rFonts w:eastAsia="Calibri"/>
                <w:kern w:val="2"/>
                <w:sz w:val="22"/>
                <w:szCs w:val="22"/>
                <w:lang w:eastAsia="ar-SA"/>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Default="001924D3" w:rsidP="00D936B0">
            <w:pPr>
              <w:widowControl w:val="0"/>
              <w:suppressAutoHyphens/>
              <w:overflowPunct w:val="0"/>
              <w:autoSpaceDE w:val="0"/>
              <w:jc w:val="center"/>
              <w:rPr>
                <w:color w:val="000000"/>
                <w:kern w:val="2"/>
                <w:sz w:val="22"/>
                <w:szCs w:val="22"/>
                <w:lang w:eastAsia="ar-SA"/>
              </w:rPr>
            </w:pPr>
            <w:r>
              <w:rPr>
                <w:color w:val="000000"/>
                <w:kern w:val="2"/>
                <w:sz w:val="22"/>
                <w:szCs w:val="22"/>
                <w:lang w:eastAsia="ar-SA"/>
              </w:rPr>
              <w:t>351,00</w:t>
            </w:r>
          </w:p>
        </w:tc>
        <w:tc>
          <w:tcPr>
            <w:tcW w:w="1844" w:type="dxa"/>
            <w:tcBorders>
              <w:top w:val="nil"/>
              <w:left w:val="nil"/>
              <w:bottom w:val="single" w:sz="4" w:space="0" w:color="auto"/>
              <w:right w:val="single" w:sz="4" w:space="0" w:color="auto"/>
            </w:tcBorders>
            <w:noWrap/>
            <w:vAlign w:val="center"/>
          </w:tcPr>
          <w:p w:rsidR="001924D3" w:rsidRDefault="001924D3" w:rsidP="00D936B0">
            <w:pPr>
              <w:widowControl w:val="0"/>
              <w:suppressAutoHyphens/>
              <w:overflowPunct w:val="0"/>
              <w:autoSpaceDE w:val="0"/>
              <w:jc w:val="center"/>
              <w:rPr>
                <w:kern w:val="2"/>
                <w:sz w:val="22"/>
                <w:szCs w:val="22"/>
              </w:rPr>
            </w:pPr>
            <w:r>
              <w:rPr>
                <w:kern w:val="2"/>
                <w:sz w:val="22"/>
                <w:szCs w:val="22"/>
              </w:rPr>
              <w:t>12 987,00</w:t>
            </w:r>
          </w:p>
        </w:tc>
      </w:tr>
      <w:tr w:rsidR="001924D3"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Default="001924D3" w:rsidP="00D936B0">
            <w:pPr>
              <w:jc w:val="center"/>
              <w:rPr>
                <w:sz w:val="22"/>
                <w:szCs w:val="22"/>
                <w:lang w:eastAsia="x-none"/>
              </w:rPr>
            </w:pPr>
            <w:r>
              <w:rPr>
                <w:sz w:val="22"/>
                <w:szCs w:val="22"/>
                <w:lang w:eastAsia="x-none"/>
              </w:rPr>
              <w:t>2.</w:t>
            </w:r>
          </w:p>
        </w:tc>
        <w:tc>
          <w:tcPr>
            <w:tcW w:w="3983" w:type="dxa"/>
            <w:tcBorders>
              <w:top w:val="single" w:sz="4" w:space="0" w:color="auto"/>
              <w:left w:val="single" w:sz="4" w:space="0" w:color="auto"/>
              <w:bottom w:val="single" w:sz="4" w:space="0" w:color="auto"/>
              <w:right w:val="single" w:sz="4" w:space="0" w:color="auto"/>
            </w:tcBorders>
            <w:hideMark/>
          </w:tcPr>
          <w:p w:rsidR="001924D3" w:rsidRDefault="001924D3" w:rsidP="00D936B0">
            <w:pPr>
              <w:rPr>
                <w:kern w:val="2"/>
                <w:sz w:val="22"/>
                <w:szCs w:val="22"/>
                <w:lang w:eastAsia="ar-SA"/>
              </w:rPr>
            </w:pPr>
            <w:r>
              <w:rPr>
                <w:rFonts w:eastAsia="Calibri"/>
                <w:sz w:val="22"/>
                <w:szCs w:val="22"/>
              </w:rPr>
              <w:t xml:space="preserve">LED gaismas spuldžu virtene lietošanai </w:t>
            </w:r>
            <w:proofErr w:type="spellStart"/>
            <w:r>
              <w:rPr>
                <w:rFonts w:eastAsia="Calibri"/>
                <w:sz w:val="22"/>
                <w:szCs w:val="22"/>
              </w:rPr>
              <w:t>ārtelpā</w:t>
            </w:r>
            <w:proofErr w:type="spellEnd"/>
            <w:r>
              <w:rPr>
                <w:rFonts w:eastAsia="Calibri"/>
                <w:sz w:val="22"/>
                <w:szCs w:val="22"/>
              </w:rPr>
              <w:t xml:space="preserve"> Nr.1</w:t>
            </w:r>
          </w:p>
        </w:tc>
        <w:tc>
          <w:tcPr>
            <w:tcW w:w="851" w:type="dxa"/>
            <w:tcBorders>
              <w:top w:val="single" w:sz="4" w:space="0" w:color="auto"/>
              <w:left w:val="nil"/>
              <w:bottom w:val="single" w:sz="4" w:space="0" w:color="auto"/>
              <w:right w:val="single" w:sz="4" w:space="0" w:color="auto"/>
            </w:tcBorders>
            <w:noWrap/>
          </w:tcPr>
          <w:p w:rsidR="001924D3" w:rsidRDefault="001924D3" w:rsidP="00D936B0">
            <w:pPr>
              <w:jc w:val="center"/>
              <w:rPr>
                <w:rFonts w:eastAsia="Calibri"/>
                <w:kern w:val="2"/>
                <w:sz w:val="22"/>
                <w:szCs w:val="22"/>
                <w:lang w:eastAsia="ar-SA"/>
              </w:rPr>
            </w:pPr>
          </w:p>
          <w:p w:rsidR="001924D3" w:rsidRDefault="001924D3" w:rsidP="00D936B0">
            <w:pPr>
              <w:jc w:val="center"/>
              <w:rPr>
                <w:rFonts w:eastAsia="Calibri"/>
                <w:kern w:val="2"/>
                <w:sz w:val="22"/>
                <w:szCs w:val="22"/>
                <w:lang w:eastAsia="ar-SA"/>
              </w:rPr>
            </w:pPr>
            <w:r>
              <w:rPr>
                <w:rFonts w:eastAsia="Calibri"/>
                <w:kern w:val="2"/>
                <w:sz w:val="22"/>
                <w:szCs w:val="22"/>
                <w:lang w:eastAsia="ar-SA"/>
              </w:rPr>
              <w:t xml:space="preserve">20 </w:t>
            </w:r>
            <w:proofErr w:type="spellStart"/>
            <w:r>
              <w:rPr>
                <w:rFonts w:eastAsia="Calibri"/>
                <w:kern w:val="2"/>
                <w:sz w:val="22"/>
                <w:szCs w:val="22"/>
                <w:lang w:eastAsia="ar-SA"/>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Default="001924D3" w:rsidP="00D936B0">
            <w:pPr>
              <w:widowControl w:val="0"/>
              <w:suppressAutoHyphens/>
              <w:overflowPunct w:val="0"/>
              <w:autoSpaceDE w:val="0"/>
              <w:jc w:val="center"/>
              <w:rPr>
                <w:color w:val="000000"/>
                <w:kern w:val="2"/>
                <w:sz w:val="22"/>
                <w:szCs w:val="22"/>
                <w:lang w:eastAsia="ar-SA"/>
              </w:rPr>
            </w:pPr>
            <w:r>
              <w:rPr>
                <w:color w:val="000000"/>
                <w:kern w:val="2"/>
                <w:sz w:val="22"/>
                <w:szCs w:val="22"/>
                <w:lang w:eastAsia="ar-SA"/>
              </w:rPr>
              <w:t>35,40</w:t>
            </w:r>
          </w:p>
        </w:tc>
        <w:tc>
          <w:tcPr>
            <w:tcW w:w="1844" w:type="dxa"/>
            <w:tcBorders>
              <w:top w:val="nil"/>
              <w:left w:val="nil"/>
              <w:bottom w:val="single" w:sz="4" w:space="0" w:color="auto"/>
              <w:right w:val="single" w:sz="4" w:space="0" w:color="auto"/>
            </w:tcBorders>
            <w:noWrap/>
            <w:vAlign w:val="center"/>
          </w:tcPr>
          <w:p w:rsidR="001924D3" w:rsidRDefault="001924D3" w:rsidP="00D936B0">
            <w:pPr>
              <w:widowControl w:val="0"/>
              <w:suppressAutoHyphens/>
              <w:overflowPunct w:val="0"/>
              <w:autoSpaceDE w:val="0"/>
              <w:jc w:val="center"/>
              <w:rPr>
                <w:kern w:val="2"/>
                <w:sz w:val="22"/>
                <w:szCs w:val="22"/>
              </w:rPr>
            </w:pPr>
            <w:r>
              <w:rPr>
                <w:kern w:val="2"/>
                <w:sz w:val="22"/>
                <w:szCs w:val="22"/>
              </w:rPr>
              <w:t>708,00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3.</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sz w:val="22"/>
                <w:szCs w:val="22"/>
                <w:lang w:eastAsia="lv-LV"/>
              </w:rPr>
            </w:pPr>
            <w:r w:rsidRPr="00E0775A">
              <w:rPr>
                <w:rFonts w:eastAsia="Calibri"/>
                <w:sz w:val="22"/>
                <w:szCs w:val="22"/>
              </w:rPr>
              <w:t xml:space="preserve">LED gaismas spuldžu virtene lietošanai </w:t>
            </w:r>
            <w:proofErr w:type="spellStart"/>
            <w:r w:rsidRPr="00E0775A">
              <w:rPr>
                <w:rFonts w:eastAsia="Calibri"/>
                <w:sz w:val="22"/>
                <w:szCs w:val="22"/>
              </w:rPr>
              <w:t>ārtelpā</w:t>
            </w:r>
            <w:proofErr w:type="spellEnd"/>
            <w:r w:rsidRPr="00E0775A">
              <w:rPr>
                <w:rFonts w:eastAsia="Calibri"/>
                <w:sz w:val="22"/>
                <w:szCs w:val="22"/>
              </w:rPr>
              <w:t xml:space="preserve"> Nr.2</w:t>
            </w:r>
          </w:p>
        </w:tc>
        <w:tc>
          <w:tcPr>
            <w:tcW w:w="851" w:type="dxa"/>
            <w:tcBorders>
              <w:top w:val="single" w:sz="4" w:space="0" w:color="auto"/>
              <w:left w:val="nil"/>
              <w:bottom w:val="single" w:sz="4" w:space="0" w:color="auto"/>
              <w:right w:val="single" w:sz="4" w:space="0" w:color="auto"/>
            </w:tcBorders>
            <w:noWrap/>
          </w:tcPr>
          <w:p w:rsidR="001924D3" w:rsidRPr="00E0775A" w:rsidRDefault="001924D3" w:rsidP="00D936B0">
            <w:pPr>
              <w:jc w:val="center"/>
              <w:rPr>
                <w:rFonts w:eastAsia="Calibri"/>
                <w:kern w:val="2"/>
                <w:sz w:val="22"/>
                <w:szCs w:val="22"/>
                <w:lang w:eastAsia="ar-SA"/>
              </w:rPr>
            </w:pPr>
          </w:p>
          <w:p w:rsidR="001924D3" w:rsidRPr="00E0775A" w:rsidRDefault="001924D3" w:rsidP="00D936B0">
            <w:pPr>
              <w:jc w:val="center"/>
              <w:rPr>
                <w:rFonts w:eastAsia="Calibri"/>
                <w:kern w:val="2"/>
                <w:sz w:val="22"/>
                <w:szCs w:val="22"/>
                <w:lang w:eastAsia="ar-SA"/>
              </w:rPr>
            </w:pPr>
            <w:r w:rsidRPr="00E0775A">
              <w:rPr>
                <w:rFonts w:eastAsia="Calibri"/>
                <w:kern w:val="2"/>
                <w:sz w:val="22"/>
                <w:szCs w:val="22"/>
                <w:lang w:eastAsia="ar-SA"/>
              </w:rPr>
              <w:t xml:space="preserve">10 </w:t>
            </w:r>
            <w:proofErr w:type="spellStart"/>
            <w:r w:rsidRPr="00E0775A">
              <w:rPr>
                <w:rFonts w:eastAsia="Calibri"/>
                <w:kern w:val="2"/>
                <w:sz w:val="22"/>
                <w:szCs w:val="22"/>
                <w:lang w:eastAsia="ar-SA"/>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35,40</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354,00</w:t>
            </w:r>
          </w:p>
        </w:tc>
      </w:tr>
      <w:tr w:rsidR="001924D3" w:rsidRPr="00E0775A" w:rsidTr="001924D3">
        <w:trPr>
          <w:trHeight w:val="58"/>
        </w:trPr>
        <w:tc>
          <w:tcPr>
            <w:tcW w:w="560" w:type="dxa"/>
            <w:tcBorders>
              <w:top w:val="single" w:sz="4" w:space="0" w:color="auto"/>
              <w:left w:val="single" w:sz="4" w:space="0" w:color="auto"/>
              <w:bottom w:val="single" w:sz="4" w:space="0" w:color="auto"/>
              <w:right w:val="single" w:sz="4" w:space="0" w:color="auto"/>
            </w:tcBorders>
            <w:noWrap/>
          </w:tcPr>
          <w:p w:rsidR="001924D3" w:rsidRPr="00E0775A" w:rsidRDefault="001924D3" w:rsidP="00D936B0">
            <w:pPr>
              <w:jc w:val="center"/>
              <w:rPr>
                <w:sz w:val="22"/>
                <w:szCs w:val="22"/>
                <w:lang w:eastAsia="x-none"/>
              </w:rPr>
            </w:pPr>
            <w:r w:rsidRPr="00E0775A">
              <w:rPr>
                <w:sz w:val="22"/>
                <w:szCs w:val="22"/>
                <w:lang w:eastAsia="x-none"/>
              </w:rPr>
              <w:t>4.</w:t>
            </w:r>
          </w:p>
        </w:tc>
        <w:tc>
          <w:tcPr>
            <w:tcW w:w="3983" w:type="dxa"/>
            <w:tcBorders>
              <w:top w:val="single" w:sz="4" w:space="0" w:color="auto"/>
              <w:left w:val="single" w:sz="4" w:space="0" w:color="auto"/>
              <w:bottom w:val="single" w:sz="4" w:space="0" w:color="auto"/>
              <w:right w:val="single" w:sz="4" w:space="0" w:color="auto"/>
            </w:tcBorders>
          </w:tcPr>
          <w:p w:rsidR="001924D3" w:rsidRPr="00E0775A" w:rsidRDefault="001924D3" w:rsidP="00D936B0">
            <w:pPr>
              <w:rPr>
                <w:rFonts w:eastAsia="Calibri"/>
                <w:sz w:val="22"/>
                <w:szCs w:val="22"/>
              </w:rPr>
            </w:pPr>
            <w:r w:rsidRPr="00E0775A">
              <w:rPr>
                <w:rFonts w:eastAsia="Calibri"/>
                <w:sz w:val="22"/>
                <w:szCs w:val="22"/>
              </w:rPr>
              <w:t>Strāvas pārveidotājs</w:t>
            </w:r>
          </w:p>
        </w:tc>
        <w:tc>
          <w:tcPr>
            <w:tcW w:w="851" w:type="dxa"/>
            <w:tcBorders>
              <w:top w:val="single" w:sz="4" w:space="0" w:color="auto"/>
              <w:left w:val="nil"/>
              <w:bottom w:val="single" w:sz="4" w:space="0" w:color="auto"/>
              <w:right w:val="single" w:sz="4" w:space="0" w:color="auto"/>
            </w:tcBorders>
            <w:noWrap/>
          </w:tcPr>
          <w:p w:rsidR="001924D3" w:rsidRPr="00E0775A" w:rsidRDefault="001924D3" w:rsidP="00D936B0">
            <w:pPr>
              <w:jc w:val="center"/>
              <w:rPr>
                <w:rFonts w:eastAsia="Calibri"/>
                <w:kern w:val="2"/>
                <w:sz w:val="22"/>
                <w:szCs w:val="22"/>
                <w:lang w:eastAsia="ar-SA"/>
              </w:rPr>
            </w:pPr>
            <w:r w:rsidRPr="00E0775A">
              <w:rPr>
                <w:rFonts w:eastAsia="Calibri"/>
                <w:kern w:val="2"/>
                <w:sz w:val="22"/>
                <w:szCs w:val="22"/>
                <w:lang w:eastAsia="ar-SA"/>
              </w:rPr>
              <w:t xml:space="preserve">30 </w:t>
            </w:r>
            <w:proofErr w:type="spellStart"/>
            <w:r w:rsidRPr="00E0775A">
              <w:rPr>
                <w:rFonts w:eastAsia="Calibri"/>
                <w:kern w:val="2"/>
                <w:sz w:val="22"/>
                <w:szCs w:val="22"/>
                <w:lang w:eastAsia="ar-SA"/>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6,00</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180,00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5.</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Gaismas kabelis</w:t>
            </w:r>
          </w:p>
        </w:tc>
        <w:tc>
          <w:tcPr>
            <w:tcW w:w="851" w:type="dxa"/>
            <w:tcBorders>
              <w:top w:val="single" w:sz="4" w:space="0" w:color="auto"/>
              <w:left w:val="nil"/>
              <w:bottom w:val="single" w:sz="4" w:space="0" w:color="auto"/>
              <w:right w:val="single" w:sz="4" w:space="0" w:color="auto"/>
            </w:tcBorders>
            <w:noWrap/>
            <w:hideMark/>
          </w:tcPr>
          <w:p w:rsidR="001924D3" w:rsidRPr="00E0775A" w:rsidRDefault="001924D3" w:rsidP="00D936B0">
            <w:pPr>
              <w:jc w:val="center"/>
              <w:rPr>
                <w:rFonts w:eastAsia="Calibri"/>
                <w:sz w:val="22"/>
                <w:szCs w:val="22"/>
              </w:rPr>
            </w:pPr>
            <w:r w:rsidRPr="00E0775A">
              <w:rPr>
                <w:rFonts w:eastAsia="Calibri"/>
                <w:sz w:val="22"/>
                <w:szCs w:val="22"/>
              </w:rPr>
              <w:t>50m</w:t>
            </w:r>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3,48</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174,00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6.</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Gaismas kabelis</w:t>
            </w:r>
          </w:p>
        </w:tc>
        <w:tc>
          <w:tcPr>
            <w:tcW w:w="851" w:type="dxa"/>
            <w:tcBorders>
              <w:top w:val="single" w:sz="4" w:space="0" w:color="auto"/>
              <w:left w:val="nil"/>
              <w:bottom w:val="single" w:sz="4" w:space="0" w:color="auto"/>
              <w:right w:val="single" w:sz="4" w:space="0" w:color="auto"/>
            </w:tcBorders>
            <w:noWrap/>
            <w:hideMark/>
          </w:tcPr>
          <w:p w:rsidR="001924D3" w:rsidRPr="00E0775A" w:rsidRDefault="001924D3" w:rsidP="00D936B0">
            <w:pPr>
              <w:jc w:val="center"/>
              <w:rPr>
                <w:rFonts w:eastAsia="Calibri"/>
                <w:sz w:val="22"/>
                <w:szCs w:val="22"/>
              </w:rPr>
            </w:pPr>
            <w:r w:rsidRPr="00E0775A">
              <w:rPr>
                <w:rFonts w:eastAsia="Calibri"/>
                <w:sz w:val="22"/>
                <w:szCs w:val="22"/>
              </w:rPr>
              <w:t>50m</w:t>
            </w:r>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3,48</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174,00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7.</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Gaismas kabelis</w:t>
            </w:r>
          </w:p>
        </w:tc>
        <w:tc>
          <w:tcPr>
            <w:tcW w:w="851" w:type="dxa"/>
            <w:tcBorders>
              <w:top w:val="single" w:sz="4" w:space="0" w:color="auto"/>
              <w:left w:val="nil"/>
              <w:bottom w:val="single" w:sz="4" w:space="0" w:color="auto"/>
              <w:right w:val="single" w:sz="4" w:space="0" w:color="auto"/>
            </w:tcBorders>
            <w:noWrap/>
            <w:hideMark/>
          </w:tcPr>
          <w:p w:rsidR="001924D3" w:rsidRPr="00E0775A" w:rsidRDefault="001924D3" w:rsidP="00D936B0">
            <w:pPr>
              <w:jc w:val="center"/>
              <w:rPr>
                <w:rFonts w:eastAsia="Calibri"/>
                <w:sz w:val="22"/>
                <w:szCs w:val="22"/>
              </w:rPr>
            </w:pPr>
            <w:r w:rsidRPr="00E0775A">
              <w:rPr>
                <w:rFonts w:eastAsia="Calibri"/>
                <w:sz w:val="22"/>
                <w:szCs w:val="22"/>
              </w:rPr>
              <w:t>50m</w:t>
            </w:r>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3,48</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174,00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8.</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 xml:space="preserve">Kabelis </w:t>
            </w:r>
          </w:p>
        </w:tc>
        <w:tc>
          <w:tcPr>
            <w:tcW w:w="851" w:type="dxa"/>
            <w:tcBorders>
              <w:top w:val="single" w:sz="4" w:space="0" w:color="auto"/>
              <w:left w:val="nil"/>
              <w:bottom w:val="single" w:sz="4" w:space="0" w:color="auto"/>
              <w:right w:val="single" w:sz="4" w:space="0" w:color="auto"/>
            </w:tcBorders>
            <w:noWrap/>
            <w:hideMark/>
          </w:tcPr>
          <w:p w:rsidR="001924D3" w:rsidRPr="00E0775A" w:rsidRDefault="001924D3" w:rsidP="00D936B0">
            <w:pPr>
              <w:jc w:val="center"/>
              <w:rPr>
                <w:noProof/>
                <w:sz w:val="22"/>
                <w:szCs w:val="22"/>
                <w:lang w:eastAsia="lv-LV"/>
              </w:rPr>
            </w:pPr>
            <w:r w:rsidRPr="00E0775A">
              <w:rPr>
                <w:noProof/>
                <w:sz w:val="22"/>
                <w:szCs w:val="22"/>
                <w:lang w:eastAsia="lv-LV"/>
              </w:rPr>
              <w:t>5 gab</w:t>
            </w:r>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21,00</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105,00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9.</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Strāvas pārveidotājs</w:t>
            </w:r>
          </w:p>
        </w:tc>
        <w:tc>
          <w:tcPr>
            <w:tcW w:w="851" w:type="dxa"/>
            <w:tcBorders>
              <w:top w:val="single" w:sz="4" w:space="0" w:color="auto"/>
              <w:left w:val="nil"/>
              <w:bottom w:val="single" w:sz="4" w:space="0" w:color="auto"/>
              <w:right w:val="single" w:sz="4" w:space="0" w:color="auto"/>
            </w:tcBorders>
            <w:noWrap/>
            <w:vAlign w:val="center"/>
            <w:hideMark/>
          </w:tcPr>
          <w:p w:rsidR="001924D3" w:rsidRPr="00E0775A" w:rsidRDefault="001924D3" w:rsidP="00D936B0">
            <w:pPr>
              <w:jc w:val="center"/>
              <w:rPr>
                <w:rFonts w:eastAsia="Calibri"/>
                <w:sz w:val="22"/>
                <w:szCs w:val="22"/>
              </w:rPr>
            </w:pPr>
            <w:r w:rsidRPr="00E0775A">
              <w:rPr>
                <w:rFonts w:eastAsia="Calibri"/>
                <w:sz w:val="22"/>
                <w:szCs w:val="22"/>
              </w:rPr>
              <w:t xml:space="preserve">5 </w:t>
            </w:r>
            <w:proofErr w:type="spellStart"/>
            <w:r w:rsidRPr="00E0775A">
              <w:rPr>
                <w:rFonts w:eastAsia="Calibri"/>
                <w:sz w:val="22"/>
                <w:szCs w:val="22"/>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6,00</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30,00</w:t>
            </w:r>
          </w:p>
        </w:tc>
      </w:tr>
      <w:tr w:rsidR="001924D3" w:rsidRPr="00E0775A"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10.</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Stiprinājums – āķis un pamatne</w:t>
            </w:r>
          </w:p>
        </w:tc>
        <w:tc>
          <w:tcPr>
            <w:tcW w:w="851" w:type="dxa"/>
            <w:tcBorders>
              <w:top w:val="single" w:sz="4" w:space="0" w:color="auto"/>
              <w:left w:val="nil"/>
              <w:bottom w:val="single" w:sz="4" w:space="0" w:color="auto"/>
              <w:right w:val="single" w:sz="4" w:space="0" w:color="auto"/>
            </w:tcBorders>
            <w:noWrap/>
            <w:vAlign w:val="center"/>
            <w:hideMark/>
          </w:tcPr>
          <w:p w:rsidR="001924D3" w:rsidRPr="00E0775A" w:rsidRDefault="001924D3" w:rsidP="00D936B0">
            <w:pPr>
              <w:jc w:val="center"/>
              <w:rPr>
                <w:rFonts w:eastAsia="Calibri"/>
                <w:sz w:val="22"/>
                <w:szCs w:val="22"/>
              </w:rPr>
            </w:pPr>
            <w:r w:rsidRPr="00E0775A">
              <w:rPr>
                <w:rFonts w:eastAsia="Calibri"/>
                <w:sz w:val="22"/>
                <w:szCs w:val="22"/>
              </w:rPr>
              <w:t xml:space="preserve">10 </w:t>
            </w:r>
            <w:proofErr w:type="spellStart"/>
            <w:r w:rsidRPr="00E0775A">
              <w:rPr>
                <w:rFonts w:eastAsia="Calibri"/>
                <w:sz w:val="22"/>
                <w:szCs w:val="22"/>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7,68</w:t>
            </w:r>
          </w:p>
        </w:tc>
        <w:tc>
          <w:tcPr>
            <w:tcW w:w="1844" w:type="dxa"/>
            <w:tcBorders>
              <w:top w:val="nil"/>
              <w:left w:val="nil"/>
              <w:bottom w:val="single" w:sz="4" w:space="0" w:color="auto"/>
              <w:right w:val="single" w:sz="4" w:space="0" w:color="auto"/>
            </w:tcBorders>
            <w:noWrap/>
            <w:vAlign w:val="center"/>
          </w:tcPr>
          <w:p w:rsidR="001924D3" w:rsidRPr="00E0775A" w:rsidRDefault="00B15127" w:rsidP="00D936B0">
            <w:pPr>
              <w:widowControl w:val="0"/>
              <w:suppressAutoHyphens/>
              <w:overflowPunct w:val="0"/>
              <w:autoSpaceDE w:val="0"/>
              <w:jc w:val="center"/>
              <w:rPr>
                <w:kern w:val="2"/>
                <w:sz w:val="22"/>
                <w:szCs w:val="22"/>
              </w:rPr>
            </w:pPr>
            <w:r w:rsidRPr="00E0775A">
              <w:rPr>
                <w:kern w:val="2"/>
                <w:sz w:val="22"/>
                <w:szCs w:val="22"/>
              </w:rPr>
              <w:t>76,80</w:t>
            </w:r>
          </w:p>
        </w:tc>
      </w:tr>
      <w:tr w:rsidR="001924D3" w:rsidTr="00D936B0">
        <w:trPr>
          <w:trHeight w:val="20"/>
        </w:trPr>
        <w:tc>
          <w:tcPr>
            <w:tcW w:w="560" w:type="dxa"/>
            <w:tcBorders>
              <w:top w:val="single" w:sz="4" w:space="0" w:color="auto"/>
              <w:left w:val="single" w:sz="4" w:space="0" w:color="auto"/>
              <w:bottom w:val="single" w:sz="4" w:space="0" w:color="auto"/>
              <w:right w:val="single" w:sz="4" w:space="0" w:color="auto"/>
            </w:tcBorders>
            <w:noWrap/>
            <w:hideMark/>
          </w:tcPr>
          <w:p w:rsidR="001924D3" w:rsidRPr="00E0775A" w:rsidRDefault="001924D3" w:rsidP="00D936B0">
            <w:pPr>
              <w:jc w:val="center"/>
              <w:rPr>
                <w:sz w:val="22"/>
                <w:szCs w:val="22"/>
                <w:lang w:eastAsia="x-none"/>
              </w:rPr>
            </w:pPr>
            <w:r w:rsidRPr="00E0775A">
              <w:rPr>
                <w:sz w:val="22"/>
                <w:szCs w:val="22"/>
                <w:lang w:eastAsia="x-none"/>
              </w:rPr>
              <w:t>11.</w:t>
            </w:r>
          </w:p>
        </w:tc>
        <w:tc>
          <w:tcPr>
            <w:tcW w:w="3983" w:type="dxa"/>
            <w:tcBorders>
              <w:top w:val="single" w:sz="4" w:space="0" w:color="auto"/>
              <w:left w:val="single" w:sz="4" w:space="0" w:color="auto"/>
              <w:bottom w:val="single" w:sz="4" w:space="0" w:color="auto"/>
              <w:right w:val="single" w:sz="4" w:space="0" w:color="auto"/>
            </w:tcBorders>
            <w:hideMark/>
          </w:tcPr>
          <w:p w:rsidR="001924D3" w:rsidRPr="00E0775A" w:rsidRDefault="001924D3" w:rsidP="00D936B0">
            <w:pPr>
              <w:rPr>
                <w:rFonts w:eastAsia="Calibri"/>
                <w:sz w:val="22"/>
                <w:szCs w:val="22"/>
              </w:rPr>
            </w:pPr>
            <w:r w:rsidRPr="00E0775A">
              <w:rPr>
                <w:rFonts w:eastAsia="Calibri"/>
                <w:sz w:val="22"/>
                <w:szCs w:val="22"/>
              </w:rPr>
              <w:t>Spuldze (NE LED)</w:t>
            </w:r>
          </w:p>
        </w:tc>
        <w:tc>
          <w:tcPr>
            <w:tcW w:w="851" w:type="dxa"/>
            <w:tcBorders>
              <w:top w:val="single" w:sz="4" w:space="0" w:color="auto"/>
              <w:left w:val="nil"/>
              <w:bottom w:val="single" w:sz="4" w:space="0" w:color="auto"/>
              <w:right w:val="single" w:sz="4" w:space="0" w:color="auto"/>
            </w:tcBorders>
            <w:noWrap/>
            <w:vAlign w:val="center"/>
            <w:hideMark/>
          </w:tcPr>
          <w:p w:rsidR="001924D3" w:rsidRPr="00E0775A" w:rsidRDefault="001924D3" w:rsidP="00D936B0">
            <w:pPr>
              <w:jc w:val="center"/>
              <w:rPr>
                <w:rFonts w:eastAsia="Calibri"/>
                <w:sz w:val="22"/>
                <w:szCs w:val="22"/>
              </w:rPr>
            </w:pPr>
            <w:r w:rsidRPr="00E0775A">
              <w:rPr>
                <w:rFonts w:eastAsia="Calibri"/>
                <w:sz w:val="22"/>
                <w:szCs w:val="22"/>
              </w:rPr>
              <w:t xml:space="preserve">100 </w:t>
            </w:r>
            <w:proofErr w:type="spellStart"/>
            <w:r w:rsidRPr="00E0775A">
              <w:rPr>
                <w:rFonts w:eastAsia="Calibri"/>
                <w:sz w:val="22"/>
                <w:szCs w:val="22"/>
              </w:rPr>
              <w:t>gab</w:t>
            </w:r>
            <w:proofErr w:type="spellEnd"/>
          </w:p>
        </w:tc>
        <w:tc>
          <w:tcPr>
            <w:tcW w:w="1702" w:type="dxa"/>
            <w:tcBorders>
              <w:top w:val="single" w:sz="4" w:space="0" w:color="auto"/>
              <w:left w:val="single" w:sz="4" w:space="0" w:color="auto"/>
              <w:bottom w:val="single" w:sz="4" w:space="0" w:color="auto"/>
              <w:right w:val="single" w:sz="4" w:space="0" w:color="auto"/>
            </w:tcBorders>
            <w:noWrap/>
            <w:vAlign w:val="center"/>
          </w:tcPr>
          <w:p w:rsidR="001924D3" w:rsidRPr="00E0775A" w:rsidRDefault="001924D3" w:rsidP="00D936B0">
            <w:pPr>
              <w:widowControl w:val="0"/>
              <w:suppressAutoHyphens/>
              <w:overflowPunct w:val="0"/>
              <w:autoSpaceDE w:val="0"/>
              <w:jc w:val="center"/>
              <w:rPr>
                <w:color w:val="000000"/>
                <w:kern w:val="2"/>
                <w:sz w:val="22"/>
                <w:szCs w:val="22"/>
                <w:lang w:eastAsia="ar-SA"/>
              </w:rPr>
            </w:pPr>
            <w:r w:rsidRPr="00E0775A">
              <w:rPr>
                <w:color w:val="000000"/>
                <w:kern w:val="2"/>
                <w:sz w:val="22"/>
                <w:szCs w:val="22"/>
                <w:lang w:eastAsia="ar-SA"/>
              </w:rPr>
              <w:t>1,08</w:t>
            </w:r>
          </w:p>
        </w:tc>
        <w:tc>
          <w:tcPr>
            <w:tcW w:w="1844" w:type="dxa"/>
            <w:tcBorders>
              <w:top w:val="nil"/>
              <w:left w:val="nil"/>
              <w:bottom w:val="single" w:sz="4" w:space="0" w:color="auto"/>
              <w:right w:val="single" w:sz="4" w:space="0" w:color="auto"/>
            </w:tcBorders>
            <w:noWrap/>
            <w:vAlign w:val="center"/>
          </w:tcPr>
          <w:p w:rsidR="001924D3" w:rsidRDefault="00B15127" w:rsidP="00D936B0">
            <w:pPr>
              <w:widowControl w:val="0"/>
              <w:suppressAutoHyphens/>
              <w:overflowPunct w:val="0"/>
              <w:autoSpaceDE w:val="0"/>
              <w:jc w:val="center"/>
              <w:rPr>
                <w:kern w:val="2"/>
                <w:sz w:val="22"/>
                <w:szCs w:val="22"/>
              </w:rPr>
            </w:pPr>
            <w:r w:rsidRPr="00E0775A">
              <w:rPr>
                <w:kern w:val="2"/>
                <w:sz w:val="22"/>
                <w:szCs w:val="22"/>
              </w:rPr>
              <w:t>108,00</w:t>
            </w:r>
          </w:p>
        </w:tc>
      </w:tr>
      <w:tr w:rsidR="001924D3" w:rsidTr="00D936B0">
        <w:trPr>
          <w:trHeight w:val="20"/>
        </w:trPr>
        <w:tc>
          <w:tcPr>
            <w:tcW w:w="7096" w:type="dxa"/>
            <w:gridSpan w:val="4"/>
            <w:tcBorders>
              <w:top w:val="single" w:sz="4" w:space="0" w:color="auto"/>
              <w:left w:val="single" w:sz="4" w:space="0" w:color="auto"/>
              <w:bottom w:val="single" w:sz="4" w:space="0" w:color="auto"/>
              <w:right w:val="single" w:sz="4" w:space="0" w:color="auto"/>
            </w:tcBorders>
            <w:noWrap/>
            <w:hideMark/>
          </w:tcPr>
          <w:p w:rsidR="001924D3" w:rsidRDefault="001924D3" w:rsidP="00D936B0">
            <w:pPr>
              <w:widowControl w:val="0"/>
              <w:suppressAutoHyphens/>
              <w:overflowPunct w:val="0"/>
              <w:autoSpaceDE w:val="0"/>
              <w:jc w:val="right"/>
              <w:rPr>
                <w:color w:val="000000"/>
                <w:kern w:val="2"/>
                <w:sz w:val="22"/>
                <w:szCs w:val="22"/>
                <w:lang w:eastAsia="ar-SA"/>
              </w:rPr>
            </w:pPr>
            <w:r>
              <w:rPr>
                <w:color w:val="000000"/>
                <w:kern w:val="2"/>
                <w:sz w:val="22"/>
                <w:szCs w:val="22"/>
                <w:lang w:eastAsia="ar-SA"/>
              </w:rPr>
              <w:t>Piedāvātā līgumcena EUR bez PVN</w:t>
            </w:r>
          </w:p>
        </w:tc>
        <w:tc>
          <w:tcPr>
            <w:tcW w:w="1844" w:type="dxa"/>
            <w:tcBorders>
              <w:top w:val="single" w:sz="4" w:space="0" w:color="auto"/>
              <w:left w:val="nil"/>
              <w:bottom w:val="single" w:sz="4" w:space="0" w:color="auto"/>
              <w:right w:val="single" w:sz="4" w:space="0" w:color="auto"/>
            </w:tcBorders>
            <w:noWrap/>
            <w:vAlign w:val="center"/>
          </w:tcPr>
          <w:p w:rsidR="001924D3" w:rsidRDefault="00B15127" w:rsidP="00D936B0">
            <w:pPr>
              <w:widowControl w:val="0"/>
              <w:suppressAutoHyphens/>
              <w:overflowPunct w:val="0"/>
              <w:autoSpaceDE w:val="0"/>
              <w:jc w:val="center"/>
              <w:rPr>
                <w:kern w:val="2"/>
                <w:sz w:val="22"/>
                <w:szCs w:val="22"/>
              </w:rPr>
            </w:pPr>
            <w:r>
              <w:rPr>
                <w:kern w:val="2"/>
                <w:sz w:val="22"/>
                <w:szCs w:val="22"/>
              </w:rPr>
              <w:t>15 070,80</w:t>
            </w:r>
          </w:p>
        </w:tc>
      </w:tr>
      <w:tr w:rsidR="001924D3" w:rsidTr="00D936B0">
        <w:trPr>
          <w:trHeight w:val="20"/>
        </w:trPr>
        <w:tc>
          <w:tcPr>
            <w:tcW w:w="7096" w:type="dxa"/>
            <w:gridSpan w:val="4"/>
            <w:tcBorders>
              <w:top w:val="single" w:sz="4" w:space="0" w:color="auto"/>
              <w:left w:val="single" w:sz="4" w:space="0" w:color="auto"/>
              <w:bottom w:val="single" w:sz="4" w:space="0" w:color="auto"/>
              <w:right w:val="single" w:sz="4" w:space="0" w:color="auto"/>
            </w:tcBorders>
            <w:noWrap/>
            <w:hideMark/>
          </w:tcPr>
          <w:p w:rsidR="001924D3" w:rsidRDefault="001924D3" w:rsidP="00D936B0">
            <w:pPr>
              <w:widowControl w:val="0"/>
              <w:suppressAutoHyphens/>
              <w:overflowPunct w:val="0"/>
              <w:autoSpaceDE w:val="0"/>
              <w:jc w:val="right"/>
              <w:rPr>
                <w:color w:val="000000"/>
                <w:kern w:val="2"/>
                <w:sz w:val="22"/>
                <w:szCs w:val="22"/>
                <w:lang w:eastAsia="ar-SA"/>
              </w:rPr>
            </w:pPr>
            <w:r>
              <w:rPr>
                <w:color w:val="000000"/>
                <w:kern w:val="2"/>
                <w:sz w:val="22"/>
                <w:szCs w:val="22"/>
                <w:lang w:eastAsia="ar-SA"/>
              </w:rPr>
              <w:t>PVN (21%)</w:t>
            </w:r>
          </w:p>
        </w:tc>
        <w:tc>
          <w:tcPr>
            <w:tcW w:w="1844" w:type="dxa"/>
            <w:tcBorders>
              <w:top w:val="single" w:sz="4" w:space="0" w:color="auto"/>
              <w:left w:val="nil"/>
              <w:bottom w:val="single" w:sz="4" w:space="0" w:color="auto"/>
              <w:right w:val="single" w:sz="4" w:space="0" w:color="auto"/>
            </w:tcBorders>
            <w:noWrap/>
            <w:vAlign w:val="center"/>
          </w:tcPr>
          <w:p w:rsidR="001924D3" w:rsidRDefault="00B15127" w:rsidP="00D936B0">
            <w:pPr>
              <w:widowControl w:val="0"/>
              <w:suppressAutoHyphens/>
              <w:overflowPunct w:val="0"/>
              <w:autoSpaceDE w:val="0"/>
              <w:jc w:val="center"/>
              <w:rPr>
                <w:kern w:val="2"/>
                <w:sz w:val="22"/>
                <w:szCs w:val="22"/>
              </w:rPr>
            </w:pPr>
            <w:r>
              <w:rPr>
                <w:kern w:val="2"/>
                <w:sz w:val="22"/>
                <w:szCs w:val="22"/>
              </w:rPr>
              <w:t>3 164,87</w:t>
            </w:r>
          </w:p>
        </w:tc>
      </w:tr>
      <w:tr w:rsidR="001924D3" w:rsidTr="00D936B0">
        <w:trPr>
          <w:trHeight w:val="20"/>
        </w:trPr>
        <w:tc>
          <w:tcPr>
            <w:tcW w:w="7096" w:type="dxa"/>
            <w:gridSpan w:val="4"/>
            <w:tcBorders>
              <w:top w:val="single" w:sz="4" w:space="0" w:color="auto"/>
              <w:left w:val="single" w:sz="4" w:space="0" w:color="auto"/>
              <w:bottom w:val="single" w:sz="4" w:space="0" w:color="auto"/>
              <w:right w:val="single" w:sz="4" w:space="0" w:color="auto"/>
            </w:tcBorders>
            <w:noWrap/>
            <w:hideMark/>
          </w:tcPr>
          <w:p w:rsidR="001924D3" w:rsidRDefault="001924D3" w:rsidP="00D936B0">
            <w:pPr>
              <w:widowControl w:val="0"/>
              <w:suppressAutoHyphens/>
              <w:overflowPunct w:val="0"/>
              <w:autoSpaceDE w:val="0"/>
              <w:jc w:val="right"/>
              <w:rPr>
                <w:color w:val="000000"/>
                <w:kern w:val="2"/>
                <w:sz w:val="22"/>
                <w:szCs w:val="22"/>
                <w:lang w:eastAsia="ar-SA"/>
              </w:rPr>
            </w:pPr>
            <w:r>
              <w:rPr>
                <w:color w:val="000000"/>
                <w:kern w:val="2"/>
                <w:sz w:val="22"/>
                <w:szCs w:val="22"/>
                <w:lang w:eastAsia="ar-SA"/>
              </w:rPr>
              <w:t>Piedāvātā līgumcena EUR ar PVN</w:t>
            </w:r>
          </w:p>
        </w:tc>
        <w:tc>
          <w:tcPr>
            <w:tcW w:w="1844" w:type="dxa"/>
            <w:tcBorders>
              <w:top w:val="single" w:sz="4" w:space="0" w:color="auto"/>
              <w:left w:val="nil"/>
              <w:bottom w:val="single" w:sz="4" w:space="0" w:color="auto"/>
              <w:right w:val="single" w:sz="4" w:space="0" w:color="auto"/>
            </w:tcBorders>
            <w:noWrap/>
            <w:vAlign w:val="center"/>
          </w:tcPr>
          <w:p w:rsidR="001924D3" w:rsidRDefault="00B15127" w:rsidP="00D936B0">
            <w:pPr>
              <w:widowControl w:val="0"/>
              <w:suppressAutoHyphens/>
              <w:overflowPunct w:val="0"/>
              <w:autoSpaceDE w:val="0"/>
              <w:jc w:val="center"/>
              <w:rPr>
                <w:kern w:val="2"/>
                <w:sz w:val="22"/>
                <w:szCs w:val="22"/>
              </w:rPr>
            </w:pPr>
            <w:r>
              <w:rPr>
                <w:kern w:val="2"/>
                <w:sz w:val="22"/>
                <w:szCs w:val="22"/>
              </w:rPr>
              <w:t>18 235,67</w:t>
            </w:r>
          </w:p>
        </w:tc>
      </w:tr>
    </w:tbl>
    <w:p w:rsidR="001924D3" w:rsidRDefault="001924D3" w:rsidP="001924D3"/>
    <w:p w:rsidR="00B15127" w:rsidRDefault="0034244A" w:rsidP="001924D3">
      <w:r>
        <w:t>2018.gada 17.decembrī</w:t>
      </w:r>
      <w:r w:rsidR="00B15127">
        <w:tab/>
      </w:r>
      <w:r w:rsidR="00B15127">
        <w:tab/>
        <w:t>V. Burtnieks</w:t>
      </w:r>
    </w:p>
    <w:p w:rsidR="0034244A" w:rsidRDefault="0034244A" w:rsidP="001924D3"/>
    <w:p w:rsidR="0034244A" w:rsidRDefault="0034244A" w:rsidP="001924D3"/>
    <w:sectPr w:rsidR="0034244A" w:rsidSect="008733C5">
      <w:pgSz w:w="11906" w:h="16838"/>
      <w:pgMar w:top="1134" w:right="170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Arial Unicode MS"/>
    <w:charset w:val="00"/>
    <w:family w:val="swiss"/>
    <w:pitch w:val="variable"/>
    <w:sig w:usb0="00000000" w:usb1="00000000" w:usb2="00000000" w:usb3="00000000" w:csb0="00010001" w:csb1="00000000"/>
  </w:font>
  <w:font w:name="Times New Roman Bold">
    <w:panose1 w:val="00000000000000000000"/>
    <w:charset w:val="00"/>
    <w:family w:val="roman"/>
    <w:notTrueType/>
    <w:pitch w:val="default"/>
    <w:sig w:usb0="00000003" w:usb1="00000000" w:usb2="00000000" w:usb3="00000000" w:csb0="00000001" w:csb1="00000000"/>
  </w:font>
  <w:font w:name="LVHelvetica">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8A8"/>
    <w:multiLevelType w:val="hybridMultilevel"/>
    <w:tmpl w:val="C0EA835E"/>
    <w:lvl w:ilvl="0" w:tplc="0426000F">
      <w:start w:val="1"/>
      <w:numFmt w:val="decimal"/>
      <w:lvlText w:val="%1."/>
      <w:lvlJc w:val="left"/>
      <w:pPr>
        <w:ind w:left="720" w:hanging="360"/>
      </w:pPr>
    </w:lvl>
    <w:lvl w:ilvl="1" w:tplc="1C381338">
      <w:numFmt w:val="bullet"/>
      <w:lvlText w:val="-"/>
      <w:lvlJc w:val="left"/>
      <w:pPr>
        <w:tabs>
          <w:tab w:val="num" w:pos="1440"/>
        </w:tabs>
        <w:ind w:left="1440" w:hanging="360"/>
      </w:pPr>
      <w:rPr>
        <w:rFonts w:ascii="Times New Roman" w:eastAsia="Calibri"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D1D4049"/>
    <w:multiLevelType w:val="hybridMultilevel"/>
    <w:tmpl w:val="CA1658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66318B0"/>
    <w:multiLevelType w:val="hybridMultilevel"/>
    <w:tmpl w:val="8B40A1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25642D01"/>
    <w:multiLevelType w:val="hybridMultilevel"/>
    <w:tmpl w:val="E4CE5ED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31053D97"/>
    <w:multiLevelType w:val="hybridMultilevel"/>
    <w:tmpl w:val="FB4C4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4A5D288A"/>
    <w:multiLevelType w:val="hybridMultilevel"/>
    <w:tmpl w:val="946A3992"/>
    <w:lvl w:ilvl="0" w:tplc="04260001">
      <w:start w:val="1"/>
      <w:numFmt w:val="bullet"/>
      <w:lvlText w:val=""/>
      <w:lvlJc w:val="left"/>
      <w:pPr>
        <w:ind w:left="405" w:hanging="360"/>
      </w:pPr>
      <w:rPr>
        <w:rFonts w:ascii="Symbol" w:hAnsi="Symbol" w:hint="default"/>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6" w15:restartNumberingAfterBreak="0">
    <w:nsid w:val="6A767113"/>
    <w:multiLevelType w:val="multilevel"/>
    <w:tmpl w:val="6A747314"/>
    <w:lvl w:ilvl="0">
      <w:start w:val="1"/>
      <w:numFmt w:val="decimal"/>
      <w:lvlText w:val="%1."/>
      <w:lvlJc w:val="left"/>
      <w:pPr>
        <w:ind w:left="360" w:hanging="360"/>
      </w:pPr>
      <w:rPr>
        <w:rFonts w:hint="default"/>
        <w:b/>
      </w:rPr>
    </w:lvl>
    <w:lvl w:ilvl="1">
      <w:start w:val="1"/>
      <w:numFmt w:val="decimal"/>
      <w:pStyle w:val="11Lgumam"/>
      <w:lvlText w:val="%1.%2."/>
      <w:lvlJc w:val="left"/>
      <w:pPr>
        <w:ind w:left="792" w:hanging="432"/>
      </w:pPr>
      <w:rPr>
        <w:rFonts w:hint="default"/>
        <w:b w: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B624C46"/>
    <w:multiLevelType w:val="hybridMultilevel"/>
    <w:tmpl w:val="0FFEE0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FA"/>
    <w:rsid w:val="001924D3"/>
    <w:rsid w:val="002F2D69"/>
    <w:rsid w:val="00306C2F"/>
    <w:rsid w:val="0034244A"/>
    <w:rsid w:val="00393600"/>
    <w:rsid w:val="00403BC7"/>
    <w:rsid w:val="008733C5"/>
    <w:rsid w:val="00904EDB"/>
    <w:rsid w:val="009B05FA"/>
    <w:rsid w:val="00A6702F"/>
    <w:rsid w:val="00B15127"/>
    <w:rsid w:val="00D7781B"/>
    <w:rsid w:val="00DC5BEF"/>
    <w:rsid w:val="00E0775A"/>
    <w:rsid w:val="00E115F6"/>
    <w:rsid w:val="00E5219C"/>
    <w:rsid w:val="00F6075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AF7D9-FBBA-441D-AD24-56CC6ACC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5F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Lgumam">
    <w:name w:val="1.1. Līgumam"/>
    <w:basedOn w:val="Normal"/>
    <w:link w:val="11LgumamChar"/>
    <w:qFormat/>
    <w:rsid w:val="00393600"/>
    <w:pPr>
      <w:numPr>
        <w:ilvl w:val="1"/>
        <w:numId w:val="1"/>
      </w:numPr>
      <w:ind w:left="284" w:hanging="284"/>
    </w:pPr>
    <w:rPr>
      <w:rFonts w:eastAsia="Calibri"/>
      <w:lang w:val="x-none" w:eastAsia="x-none"/>
    </w:rPr>
  </w:style>
  <w:style w:type="character" w:customStyle="1" w:styleId="11LgumamChar">
    <w:name w:val="1.1. Līgumam Char"/>
    <w:link w:val="11Lgumam"/>
    <w:rsid w:val="00393600"/>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9B05FA"/>
    <w:pPr>
      <w:numPr>
        <w:ilvl w:val="0"/>
        <w:numId w:val="0"/>
      </w:numPr>
      <w:ind w:left="993" w:hanging="709"/>
    </w:pPr>
    <w:rPr>
      <w:lang w:val="lv-LV"/>
    </w:rPr>
  </w:style>
  <w:style w:type="character" w:customStyle="1" w:styleId="111LgumamChar">
    <w:name w:val="1.1.1. Līgumam Char"/>
    <w:link w:val="111Lgumam"/>
    <w:rsid w:val="009B05FA"/>
    <w:rPr>
      <w:rFonts w:ascii="Times New Roman" w:eastAsia="Calibri" w:hAnsi="Times New Roman" w:cs="Times New Roman"/>
      <w:sz w:val="24"/>
      <w:szCs w:val="24"/>
      <w:lang w:eastAsia="x-none"/>
    </w:rPr>
  </w:style>
  <w:style w:type="paragraph" w:customStyle="1" w:styleId="1Lgumam">
    <w:name w:val="1. Līgumam"/>
    <w:basedOn w:val="Normal"/>
    <w:link w:val="1LgumamChar"/>
    <w:qFormat/>
    <w:rsid w:val="009B05FA"/>
    <w:pPr>
      <w:tabs>
        <w:tab w:val="left" w:pos="426"/>
      </w:tabs>
      <w:spacing w:before="240" w:after="120"/>
      <w:ind w:left="360" w:hanging="360"/>
      <w:jc w:val="center"/>
    </w:pPr>
    <w:rPr>
      <w:rFonts w:ascii="Times New Roman Bold" w:eastAsia="Calibri" w:hAnsi="Times New Roman Bold"/>
      <w:b/>
      <w:caps/>
      <w:lang w:val="x-none" w:eastAsia="x-none"/>
    </w:rPr>
  </w:style>
  <w:style w:type="character" w:customStyle="1" w:styleId="1LgumamChar">
    <w:name w:val="1. Līgumam Char"/>
    <w:link w:val="1Lgumam"/>
    <w:rsid w:val="009B05FA"/>
    <w:rPr>
      <w:rFonts w:ascii="Times New Roman Bold" w:eastAsia="Calibri" w:hAnsi="Times New Roman Bold" w:cs="Times New Roman"/>
      <w:b/>
      <w:caps/>
      <w:sz w:val="24"/>
      <w:szCs w:val="24"/>
      <w:lang w:val="x-none" w:eastAsia="x-none"/>
    </w:rPr>
  </w:style>
  <w:style w:type="paragraph" w:customStyle="1" w:styleId="1111lgumam">
    <w:name w:val="1.1.1.1. līgumam"/>
    <w:basedOn w:val="111Lgumam"/>
    <w:qFormat/>
    <w:rsid w:val="009B05FA"/>
    <w:pPr>
      <w:tabs>
        <w:tab w:val="num" w:pos="360"/>
      </w:tabs>
    </w:pPr>
  </w:style>
  <w:style w:type="character" w:styleId="Hyperlink">
    <w:name w:val="Hyperlink"/>
    <w:basedOn w:val="DefaultParagraphFont"/>
    <w:uiPriority w:val="99"/>
    <w:unhideWhenUsed/>
    <w:rsid w:val="00A67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am@adam.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te.salzirne@marupe.lv" TargetMode="External"/><Relationship Id="rId5" Type="http://schemas.openxmlformats.org/officeDocument/2006/relationships/hyperlink" Target="mailto:adam@adam.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7983</Words>
  <Characters>4551</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DDS. Dzalba-Sniedze</dc:creator>
  <cp:keywords/>
  <dc:description/>
  <cp:lastModifiedBy>Daiga DDS. Dzalba-Sniedze</cp:lastModifiedBy>
  <cp:revision>8</cp:revision>
  <dcterms:created xsi:type="dcterms:W3CDTF">2018-12-13T13:23:00Z</dcterms:created>
  <dcterms:modified xsi:type="dcterms:W3CDTF">2018-12-17T12:43:00Z</dcterms:modified>
</cp:coreProperties>
</file>