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8"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DD47D0" w:rsidP="00E40579">
            <w:pPr>
              <w:jc w:val="center"/>
              <w:rPr>
                <w:rFonts w:eastAsia="Calibri"/>
                <w:color w:val="FF0000"/>
                <w:lang w:eastAsia="en-GB"/>
              </w:rPr>
            </w:pPr>
            <w:r>
              <w:t>Atklāts</w:t>
            </w:r>
            <w:r w:rsidR="00621E1E" w:rsidRPr="00710E72">
              <w:t xml:space="preserve"> </w:t>
            </w:r>
            <w:r w:rsidR="00621E1E">
              <w:t>konkurs</w:t>
            </w:r>
            <w:r>
              <w:t>s</w:t>
            </w:r>
            <w:bookmarkStart w:id="0" w:name="_GoBack"/>
            <w:bookmarkEnd w:id="0"/>
            <w:r w:rsidR="00621E1E" w:rsidRPr="00710E72">
              <w:t xml:space="preserve"> </w:t>
            </w:r>
            <w:r w:rsidR="00621E1E">
              <w:t>“</w:t>
            </w:r>
            <w:r w:rsidRPr="00DD47D0">
              <w:t>Mārupes novada pašvaldības ielu un ceļu ikdienas uzturēšanas darbi ziemas sezonā</w:t>
            </w:r>
            <w:r w:rsidR="00621E1E" w:rsidRPr="00710E72">
              <w:t>”</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9470D5">
            <w:pPr>
              <w:spacing w:after="120"/>
              <w:jc w:val="center"/>
              <w:rPr>
                <w:rFonts w:eastAsia="Calibri"/>
                <w:color w:val="FF0000"/>
                <w:lang w:eastAsia="en-GB"/>
              </w:rPr>
            </w:pPr>
            <w:r>
              <w:t>I</w:t>
            </w:r>
            <w:r w:rsidRPr="00710E72">
              <w:t>dentifikācijas Nr. MND </w:t>
            </w:r>
            <w:r>
              <w:t>201</w:t>
            </w:r>
            <w:r w:rsidR="009470D5">
              <w:t>7</w:t>
            </w:r>
            <w:r>
              <w:t>/</w:t>
            </w:r>
            <w:r w:rsidR="00DD47D0">
              <w:t>51</w:t>
            </w:r>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ir mikro,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 xml:space="preserve">b) (tīmekļa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proofErr w:type="spellStart"/>
      <w:r w:rsidRPr="009A3D47">
        <w:rPr>
          <w:rFonts w:eastAsia="Calibri"/>
          <w:b/>
          <w:i/>
          <w:sz w:val="20"/>
          <w:szCs w:val="20"/>
          <w:lang w:eastAsia="en-GB"/>
        </w:rPr>
        <w:t>Krāpniecība</w:t>
      </w:r>
      <w:proofErr w:type="spellEnd"/>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 xml:space="preserve">Ja attiecīgā dokumentācija ir pieejama elektroniski, lūdzu, norādiet to: (tīmekļa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lastRenderedPageBreak/>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a) notiesāšanas datumu, kurš no sešiem 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Datums:[   ], punkts(-i): [   ], iemesls(-i):[   ]</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 xml:space="preserve">Ja attiecīgā dokumentācija ir pieejama elektroniski, lūdzu, norādiet to: (tīmekļa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lastRenderedPageBreak/>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t xml:space="preserve">d) atrodas analogā situācijā, kas izriet no </w:t>
            </w:r>
            <w:r w:rsidRPr="00387E25">
              <w:rPr>
                <w:rFonts w:eastAsia="Calibri"/>
                <w:lang w:eastAsia="en-GB"/>
              </w:rPr>
              <w:lastRenderedPageBreak/>
              <w:t>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lastRenderedPageBreak/>
              <w:t>sagatavošanā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 xml:space="preserve">Ja atbilstošā paziņojumā vai iepirkuma procedūras dokumentos pieprasītā </w:t>
            </w:r>
            <w:r w:rsidRPr="00387E25">
              <w:rPr>
                <w:rFonts w:eastAsia="Calibri"/>
                <w:i/>
                <w:lang w:eastAsia="en-GB"/>
              </w:rPr>
              <w:lastRenderedPageBreak/>
              <w:t>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xml:space="preserve">, precīza </w:t>
            </w:r>
            <w:r w:rsidRPr="00387E25">
              <w:rPr>
                <w:rFonts w:eastAsia="Calibri"/>
                <w:i/>
                <w:lang w:eastAsia="en-GB"/>
              </w:rPr>
              <w:lastRenderedPageBreak/>
              <w:t>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lastRenderedPageBreak/>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lastRenderedPageBreak/>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lastRenderedPageBreak/>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lastRenderedPageBreak/>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kuras var būt norādītas atbilstošā paziņojumā vai iepirkuma 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xml:space="preserve">, jo īpaši tās, kas atbild par </w:t>
            </w:r>
            <w:r w:rsidRPr="00387E25">
              <w:rPr>
                <w:rFonts w:eastAsia="Calibri"/>
                <w:lang w:eastAsia="en-GB"/>
              </w:rPr>
              <w:lastRenderedPageBreak/>
              <w:t>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lastRenderedPageBreak/>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nepieciešamajiem </w:t>
            </w:r>
            <w:r w:rsidRPr="00387E25">
              <w:rPr>
                <w:rFonts w:eastAsia="Calibri"/>
                <w:b/>
                <w:lang w:eastAsia="en-GB"/>
              </w:rPr>
              <w:t>kvalitātes nodrošināšanas standartiem</w:t>
            </w:r>
            <w:r w:rsidRPr="00387E25">
              <w:rPr>
                <w:rFonts w:eastAsia="Calibri"/>
                <w:lang w:eastAsia="en-GB"/>
              </w:rPr>
              <w:t xml:space="preserve">, tostarp </w:t>
            </w:r>
            <w:r w:rsidRPr="00387E25">
              <w:rPr>
                <w:rFonts w:eastAsia="Calibri"/>
                <w:lang w:eastAsia="en-GB"/>
              </w:rPr>
              <w:lastRenderedPageBreak/>
              <w:t>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t>[……] [……]</w:t>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 xml:space="preserve">(tīmekļa adrese, </w:t>
            </w:r>
            <w:proofErr w:type="spellStart"/>
            <w:r w:rsidRPr="00387E25">
              <w:rPr>
                <w:rFonts w:eastAsia="Calibri"/>
                <w:i/>
                <w:lang w:eastAsia="en-GB"/>
              </w:rPr>
              <w:t>izdevējiestāde</w:t>
            </w:r>
            <w:proofErr w:type="spellEnd"/>
            <w:r w:rsidRPr="00387E25">
              <w:rPr>
                <w:rFonts w:eastAsia="Calibri"/>
                <w:i/>
                <w:lang w:eastAsia="en-GB"/>
              </w:rPr>
              <w:t>,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9"/>
      <w:footerReference w:type="default" r:id="rId10"/>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ヒラギノ角ゴ Pro W3">
    <w:altName w:val="Times New Roman"/>
    <w:charset w:val="00"/>
    <w:family w:val="roman"/>
    <w:pitch w:val="default"/>
  </w:font>
  <w:font w:name="Helvetica">
    <w:panose1 w:val="020B0604020202020204"/>
    <w:charset w:val="BA"/>
    <w:family w:val="swiss"/>
    <w:pitch w:val="variable"/>
    <w:sig w:usb0="E0002EFF" w:usb1="C0007843" w:usb2="00000009" w:usb3="00000000" w:csb0="000001FF"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DD47D0">
      <w:rPr>
        <w:rStyle w:val="PageNumber"/>
        <w:noProof/>
      </w:rPr>
      <w:t>2</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9A3D47">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mikro,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w:t>
      </w:r>
      <w:proofErr w:type="spellStart"/>
      <w:r w:rsidRPr="009A3D47">
        <w:rPr>
          <w:sz w:val="18"/>
          <w:szCs w:val="18"/>
        </w:rPr>
        <w:t>mazaizsargātu</w:t>
      </w:r>
      <w:proofErr w:type="spellEnd"/>
      <w:r w:rsidRPr="009A3D47">
        <w:rPr>
          <w:sz w:val="18"/>
          <w:szCs w:val="18"/>
        </w:rPr>
        <w:t xml:space="preserve">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 xml:space="preserve">tīmekļa adrese, </w:t>
      </w:r>
      <w:proofErr w:type="spellStart"/>
      <w:r w:rsidRPr="009A3D47">
        <w:rPr>
          <w:i/>
          <w:sz w:val="18"/>
          <w:szCs w:val="18"/>
        </w:rPr>
        <w:t>izdevējiestāde</w:t>
      </w:r>
      <w:proofErr w:type="spellEnd"/>
      <w:r w:rsidRPr="009A3D47">
        <w:rPr>
          <w:i/>
          <w:sz w:val="18"/>
          <w:szCs w:val="18"/>
        </w:rPr>
        <w:t>,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15:restartNumberingAfterBreak="0">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15:restartNumberingAfterBreak="0">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15:restartNumberingAfterBreak="0">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15:restartNumberingAfterBreak="0">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15:restartNumberingAfterBreak="0">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15:restartNumberingAfterBreak="0">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15:restartNumberingAfterBreak="0">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15:restartNumberingAfterBreak="0">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15:restartNumberingAfterBreak="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15:restartNumberingAfterBreak="0">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15:restartNumberingAfterBreak="0">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15:restartNumberingAfterBreak="0">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15:restartNumberingAfterBreak="0">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15:restartNumberingAfterBreak="0">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15:restartNumberingAfterBreak="0">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15:restartNumberingAfterBreak="0">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6C15"/>
    <w:rsid w:val="00447B34"/>
    <w:rsid w:val="00451218"/>
    <w:rsid w:val="004565C2"/>
    <w:rsid w:val="00460136"/>
    <w:rsid w:val="0046329D"/>
    <w:rsid w:val="00463522"/>
    <w:rsid w:val="004640AD"/>
    <w:rsid w:val="004717FC"/>
    <w:rsid w:val="00473A43"/>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1720F"/>
    <w:rsid w:val="00925036"/>
    <w:rsid w:val="00925098"/>
    <w:rsid w:val="00926673"/>
    <w:rsid w:val="00926EC9"/>
    <w:rsid w:val="00927142"/>
    <w:rsid w:val="00927180"/>
    <w:rsid w:val="00932172"/>
    <w:rsid w:val="009338E0"/>
    <w:rsid w:val="00934176"/>
    <w:rsid w:val="009361CA"/>
    <w:rsid w:val="009365CB"/>
    <w:rsid w:val="00936851"/>
    <w:rsid w:val="00941416"/>
    <w:rsid w:val="00944AAE"/>
    <w:rsid w:val="00945F13"/>
    <w:rsid w:val="009470D5"/>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47D0"/>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6196"/>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481A769"/>
  <w15:docId w15:val="{7FCE5F83-F878-4A9B-ABE3-5BD1E6DE4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F86AA1-A3B8-4BB6-B5E2-BC51FDDF89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16</Pages>
  <Words>17985</Words>
  <Characters>10252</Characters>
  <Application>Microsoft Office Word</Application>
  <DocSecurity>0</DocSecurity>
  <Lines>85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28181</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Inara IM. Malinovska</cp:lastModifiedBy>
  <cp:revision>3</cp:revision>
  <cp:lastPrinted>2016-03-31T07:14:00Z</cp:lastPrinted>
  <dcterms:created xsi:type="dcterms:W3CDTF">2017-11-15T10:42:00Z</dcterms:created>
  <dcterms:modified xsi:type="dcterms:W3CDTF">2017-11-15T10:45:00Z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