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80" w:rsidRPr="00961E80" w:rsidRDefault="00961E80" w:rsidP="00961E80">
      <w:pPr>
        <w:jc w:val="center"/>
      </w:pPr>
      <w:r w:rsidRPr="00961E80">
        <w:t>I daļā</w:t>
      </w:r>
    </w:p>
    <w:tbl>
      <w:tblPr>
        <w:tblW w:w="8446" w:type="dxa"/>
        <w:jc w:val="center"/>
        <w:tblInd w:w="3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5" w:type="dxa"/>
          <w:right w:w="205" w:type="dxa"/>
        </w:tblCellMar>
        <w:tblLook w:val="0000" w:firstRow="0" w:lastRow="0" w:firstColumn="0" w:lastColumn="0" w:noHBand="0" w:noVBand="0"/>
      </w:tblPr>
      <w:tblGrid>
        <w:gridCol w:w="851"/>
        <w:gridCol w:w="5925"/>
        <w:gridCol w:w="1670"/>
      </w:tblGrid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  <w:vAlign w:val="center"/>
          </w:tcPr>
          <w:p w:rsidR="00961E80" w:rsidRPr="00961E80" w:rsidRDefault="00961E80" w:rsidP="00961E80">
            <w:pPr>
              <w:rPr>
                <w:b/>
                <w:bCs/>
              </w:rPr>
            </w:pPr>
            <w:r w:rsidRPr="00961E80">
              <w:rPr>
                <w:b/>
                <w:bCs/>
              </w:rPr>
              <w:t>Nr.</w:t>
            </w:r>
          </w:p>
        </w:tc>
        <w:tc>
          <w:tcPr>
            <w:tcW w:w="5925" w:type="dxa"/>
            <w:vAlign w:val="center"/>
          </w:tcPr>
          <w:p w:rsidR="00961E80" w:rsidRPr="00961E80" w:rsidRDefault="00961E80" w:rsidP="00961E80">
            <w:pPr>
              <w:rPr>
                <w:b/>
                <w:bCs/>
              </w:rPr>
            </w:pPr>
            <w:r w:rsidRPr="00961E80">
              <w:rPr>
                <w:b/>
                <w:bCs/>
              </w:rPr>
              <w:t>Pakalpojuma izmaksu pozīcijas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r w:rsidRPr="00961E80">
              <w:rPr>
                <w:b/>
              </w:rPr>
              <w:t>Cena EUR bez PVN</w:t>
            </w: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Zemesgabala topogrāfiskā uzmērīšana un ģeotehniskā izpēte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/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2.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Projekta izstrāde minimālā sastāvā un saskaņošana ar Pasūtītāju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/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3.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Tehniskā projekta izstrāde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/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4.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Ielas apgaismojuma sadaļas izstrāde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/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5.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Autoruzraudzība Vārpu ielas pārbūvei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/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  <w:shd w:val="clear" w:color="auto" w:fill="F2F2F2"/>
          </w:tcPr>
          <w:p w:rsidR="00961E80" w:rsidRPr="00961E80" w:rsidRDefault="00961E80" w:rsidP="00961E80">
            <w:pPr>
              <w:rPr>
                <w:b/>
              </w:rPr>
            </w:pPr>
            <w:r w:rsidRPr="00961E80">
              <w:rPr>
                <w:b/>
              </w:rPr>
              <w:t>A</w:t>
            </w:r>
          </w:p>
        </w:tc>
        <w:tc>
          <w:tcPr>
            <w:tcW w:w="5925" w:type="dxa"/>
            <w:shd w:val="clear" w:color="auto" w:fill="F2F2F2"/>
          </w:tcPr>
          <w:p w:rsidR="00961E80" w:rsidRPr="00961E80" w:rsidRDefault="00961E80" w:rsidP="00961E80">
            <w:r w:rsidRPr="00961E80">
              <w:t>Būvprojekta izstrāde Vārpu ielas pārbūvei (posmā no Lielās līdz Upesgrīvas) (A=1+2+3+4+5)</w:t>
            </w:r>
          </w:p>
        </w:tc>
        <w:tc>
          <w:tcPr>
            <w:tcW w:w="1670" w:type="dxa"/>
            <w:shd w:val="clear" w:color="auto" w:fill="F2F2F2"/>
            <w:vAlign w:val="center"/>
          </w:tcPr>
          <w:p w:rsidR="00961E80" w:rsidRPr="00961E80" w:rsidRDefault="00961E80" w:rsidP="00961E80"/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6.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Zemesgabala topogrāfiskā uzmērīšana un ģeotehniskā izpēte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7.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Projekta izstrāde minimālā sastāvā un saskaņošana ar Pasūtītāju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8.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Tehniskā projekta izstrāde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9.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Ielas apgaismojuma sadaļas izstrāde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10.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Autoruzraudzība Vītiņu ielas pārbūvei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  <w:shd w:val="clear" w:color="auto" w:fill="F2F2F2"/>
          </w:tcPr>
          <w:p w:rsidR="00961E80" w:rsidRPr="00961E80" w:rsidRDefault="00961E80" w:rsidP="00961E80">
            <w:pPr>
              <w:rPr>
                <w:b/>
              </w:rPr>
            </w:pPr>
            <w:r w:rsidRPr="00961E80">
              <w:rPr>
                <w:b/>
              </w:rPr>
              <w:t>B</w:t>
            </w:r>
          </w:p>
        </w:tc>
        <w:tc>
          <w:tcPr>
            <w:tcW w:w="5925" w:type="dxa"/>
            <w:shd w:val="clear" w:color="auto" w:fill="F2F2F2"/>
          </w:tcPr>
          <w:p w:rsidR="00961E80" w:rsidRPr="00961E80" w:rsidRDefault="00961E80" w:rsidP="00961E80">
            <w:r w:rsidRPr="00961E80">
              <w:t>Būvprojekta izstrāde Vītiņu ielas pārbūvei (posmā no Kantora ielas līdz Vārpu ielai) (B=6+7+8+9+10)</w:t>
            </w:r>
          </w:p>
        </w:tc>
        <w:tc>
          <w:tcPr>
            <w:tcW w:w="1670" w:type="dxa"/>
            <w:shd w:val="clear" w:color="auto" w:fill="F2F2F2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11.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Zemesgabala topogrāfiskā uzmērīšana un ģeotehniskā izpēte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12.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Projekta izstrāde minimālā sastāvā un saskaņošana ar Pasūtītāju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13.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Tehniskā projekta izstrāde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14.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Ielas apgaismojuma sadaļas izstrāde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15.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Autoruzraudzība Laimdotas ielas pārbūvei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  <w:shd w:val="clear" w:color="auto" w:fill="F2F2F2"/>
          </w:tcPr>
          <w:p w:rsidR="00961E80" w:rsidRPr="00961E80" w:rsidRDefault="00961E80" w:rsidP="00961E80">
            <w:pPr>
              <w:rPr>
                <w:b/>
              </w:rPr>
            </w:pPr>
            <w:r w:rsidRPr="00961E80">
              <w:rPr>
                <w:b/>
              </w:rPr>
              <w:t>C</w:t>
            </w:r>
          </w:p>
        </w:tc>
        <w:tc>
          <w:tcPr>
            <w:tcW w:w="5925" w:type="dxa"/>
            <w:shd w:val="clear" w:color="auto" w:fill="F2F2F2"/>
          </w:tcPr>
          <w:p w:rsidR="00961E80" w:rsidRPr="00961E80" w:rsidRDefault="00961E80" w:rsidP="00961E80">
            <w:r w:rsidRPr="00961E80">
              <w:t>Būvprojekta izstrāde Laimdotas ielas pārbūve (posmā no Mēmeles līdz Sīpeles ielai) (C=11+12+13+14+15)</w:t>
            </w:r>
          </w:p>
        </w:tc>
        <w:tc>
          <w:tcPr>
            <w:tcW w:w="1670" w:type="dxa"/>
            <w:shd w:val="clear" w:color="auto" w:fill="F2F2F2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16.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Zemesgabala topogrāfiskā uzmērīšana un ģeotehniskā izpēte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17.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Projekta izstrāde minimālā sastāvā un saskaņošana ar Pasūtītāju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18.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Tehniskā projekta izstrāde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19.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Ielas apgaismojuma sadaļas izstrāde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r w:rsidRPr="00961E80">
              <w:t>20.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>Autoruzraudzība Lambertu ielas pārbūvei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25" w:type="dxa"/>
          </w:tcPr>
          <w:p w:rsidR="00961E80" w:rsidRPr="00961E80" w:rsidRDefault="00961E80" w:rsidP="00961E80">
            <w:r w:rsidRPr="00961E80">
              <w:t xml:space="preserve">Būvprojekta izstrāde </w:t>
            </w:r>
            <w:r>
              <w:t>Lambertu</w:t>
            </w:r>
            <w:r w:rsidRPr="00961E80">
              <w:t xml:space="preserve"> ielas pārbūve (posmā no Kantora ielas līdz Paleju ielai</w:t>
            </w:r>
            <w:r>
              <w:t>) (D</w:t>
            </w:r>
            <w:bookmarkStart w:id="0" w:name="_GoBack"/>
            <w:bookmarkEnd w:id="0"/>
            <w:r w:rsidRPr="00961E80">
              <w:t>=16+17+18+19+20)</w:t>
            </w:r>
          </w:p>
        </w:tc>
        <w:tc>
          <w:tcPr>
            <w:tcW w:w="1670" w:type="dxa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pPr>
              <w:rPr>
                <w:b/>
              </w:rPr>
            </w:pPr>
            <w:r w:rsidRPr="00961E80">
              <w:rPr>
                <w:b/>
              </w:rPr>
              <w:t>E</w:t>
            </w:r>
          </w:p>
        </w:tc>
        <w:tc>
          <w:tcPr>
            <w:tcW w:w="5925" w:type="dxa"/>
            <w:vAlign w:val="center"/>
          </w:tcPr>
          <w:p w:rsidR="00961E80" w:rsidRPr="00961E80" w:rsidRDefault="00961E80" w:rsidP="00961E80">
            <w:r w:rsidRPr="00961E80">
              <w:t>Piedāvātā līgumcena* EUR bez PVN</w:t>
            </w:r>
          </w:p>
          <w:p w:rsidR="00961E80" w:rsidRPr="00961E80" w:rsidRDefault="00961E80" w:rsidP="00961E80">
            <w:r w:rsidRPr="00961E80">
              <w:t>(E=A+B+C+D)</w:t>
            </w:r>
          </w:p>
        </w:tc>
        <w:tc>
          <w:tcPr>
            <w:tcW w:w="1670" w:type="dxa"/>
            <w:shd w:val="clear" w:color="auto" w:fill="C0C0C0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/>
        </w:tc>
        <w:tc>
          <w:tcPr>
            <w:tcW w:w="5925" w:type="dxa"/>
            <w:vAlign w:val="center"/>
          </w:tcPr>
          <w:p w:rsidR="00961E80" w:rsidRPr="00961E80" w:rsidRDefault="00961E80" w:rsidP="00961E80">
            <w:r w:rsidRPr="00961E80">
              <w:t>PVN 21 %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61E80" w:rsidRPr="00961E80" w:rsidRDefault="00961E80" w:rsidP="00961E80"/>
        </w:tc>
      </w:tr>
      <w:tr w:rsidR="00961E80" w:rsidRPr="00961E80" w:rsidTr="009D01A0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851" w:type="dxa"/>
          </w:tcPr>
          <w:p w:rsidR="00961E80" w:rsidRPr="00961E80" w:rsidRDefault="00961E80" w:rsidP="00961E80">
            <w:pPr>
              <w:rPr>
                <w:b/>
              </w:rPr>
            </w:pPr>
          </w:p>
        </w:tc>
        <w:tc>
          <w:tcPr>
            <w:tcW w:w="5925" w:type="dxa"/>
            <w:vAlign w:val="center"/>
          </w:tcPr>
          <w:p w:rsidR="00961E80" w:rsidRPr="00961E80" w:rsidRDefault="00961E80" w:rsidP="00961E80">
            <w:r w:rsidRPr="00961E80">
              <w:t>Piedāvātā līgumcena EUR ar PVN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61E80" w:rsidRPr="00961E80" w:rsidRDefault="00961E80" w:rsidP="00961E80">
            <w:pPr>
              <w:rPr>
                <w:b/>
              </w:rPr>
            </w:pPr>
          </w:p>
        </w:tc>
      </w:tr>
    </w:tbl>
    <w:p w:rsidR="00961E80" w:rsidRPr="00961E80" w:rsidRDefault="00961E80" w:rsidP="00961E80"/>
    <w:p w:rsidR="00961E80" w:rsidRPr="00961E80" w:rsidRDefault="00961E80" w:rsidP="00961E80">
      <w:r w:rsidRPr="00961E80">
        <w:t>* - Pretendents, sagatavojot finanšu piedāvājumu, piedāvātajā līgumcenā ir iekļāvis visas izmaksas, kas var rasties projektēšanas gaitā.</w:t>
      </w:r>
    </w:p>
    <w:p w:rsidR="000E725E" w:rsidRDefault="000E725E"/>
    <w:sectPr w:rsidR="000E7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1016"/>
    <w:multiLevelType w:val="multilevel"/>
    <w:tmpl w:val="9FBEBD6E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A767113"/>
    <w:multiLevelType w:val="multilevel"/>
    <w:tmpl w:val="65C0DF9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1FC1D20"/>
    <w:multiLevelType w:val="hybridMultilevel"/>
    <w:tmpl w:val="1136A018"/>
    <w:lvl w:ilvl="0" w:tplc="4A8440F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99" w:hanging="360"/>
      </w:pPr>
    </w:lvl>
    <w:lvl w:ilvl="2" w:tplc="0426001B" w:tentative="1">
      <w:start w:val="1"/>
      <w:numFmt w:val="lowerRoman"/>
      <w:lvlText w:val="%3."/>
      <w:lvlJc w:val="right"/>
      <w:pPr>
        <w:ind w:left="2019" w:hanging="180"/>
      </w:pPr>
    </w:lvl>
    <w:lvl w:ilvl="3" w:tplc="0426000F" w:tentative="1">
      <w:start w:val="1"/>
      <w:numFmt w:val="decimal"/>
      <w:lvlText w:val="%4."/>
      <w:lvlJc w:val="left"/>
      <w:pPr>
        <w:ind w:left="2739" w:hanging="360"/>
      </w:pPr>
    </w:lvl>
    <w:lvl w:ilvl="4" w:tplc="04260019" w:tentative="1">
      <w:start w:val="1"/>
      <w:numFmt w:val="lowerLetter"/>
      <w:lvlText w:val="%5."/>
      <w:lvlJc w:val="left"/>
      <w:pPr>
        <w:ind w:left="3459" w:hanging="360"/>
      </w:pPr>
    </w:lvl>
    <w:lvl w:ilvl="5" w:tplc="0426001B" w:tentative="1">
      <w:start w:val="1"/>
      <w:numFmt w:val="lowerRoman"/>
      <w:lvlText w:val="%6."/>
      <w:lvlJc w:val="right"/>
      <w:pPr>
        <w:ind w:left="4179" w:hanging="180"/>
      </w:pPr>
    </w:lvl>
    <w:lvl w:ilvl="6" w:tplc="0426000F" w:tentative="1">
      <w:start w:val="1"/>
      <w:numFmt w:val="decimal"/>
      <w:lvlText w:val="%7."/>
      <w:lvlJc w:val="left"/>
      <w:pPr>
        <w:ind w:left="4899" w:hanging="360"/>
      </w:pPr>
    </w:lvl>
    <w:lvl w:ilvl="7" w:tplc="04260019" w:tentative="1">
      <w:start w:val="1"/>
      <w:numFmt w:val="lowerLetter"/>
      <w:lvlText w:val="%8."/>
      <w:lvlJc w:val="left"/>
      <w:pPr>
        <w:ind w:left="5619" w:hanging="360"/>
      </w:pPr>
    </w:lvl>
    <w:lvl w:ilvl="8" w:tplc="0426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0"/>
    <w:rsid w:val="000E725E"/>
    <w:rsid w:val="00322099"/>
    <w:rsid w:val="005011CE"/>
    <w:rsid w:val="005770BE"/>
    <w:rsid w:val="00834BC9"/>
    <w:rsid w:val="00961E80"/>
    <w:rsid w:val="00AD3EE6"/>
    <w:rsid w:val="00CA23FD"/>
    <w:rsid w:val="00D81375"/>
    <w:rsid w:val="00DD72FF"/>
    <w:rsid w:val="00E3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Heading1">
    <w:name w:val="heading 1"/>
    <w:aliases w:val="Section Heading,heading1,Antraste 1,h1,Section Heading Char,heading1 Char,Antraste 1 Char,h1 Char"/>
    <w:basedOn w:val="Normal"/>
    <w:next w:val="Heading2"/>
    <w:link w:val="Heading1Char"/>
    <w:autoRedefine/>
    <w:uiPriority w:val="9"/>
    <w:qFormat/>
    <w:rsid w:val="00CA23FD"/>
    <w:pPr>
      <w:keepNext/>
      <w:numPr>
        <w:numId w:val="19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Heading2">
    <w:name w:val="heading 2"/>
    <w:basedOn w:val="Normal"/>
    <w:link w:val="Heading2Char"/>
    <w:autoRedefine/>
    <w:uiPriority w:val="9"/>
    <w:qFormat/>
    <w:rsid w:val="00CA23FD"/>
    <w:pPr>
      <w:keepNext/>
      <w:numPr>
        <w:ilvl w:val="1"/>
        <w:numId w:val="19"/>
      </w:numPr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Heading2"/>
    <w:link w:val="Heading3Char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link w:val="Heading4Char"/>
    <w:autoRedefine/>
    <w:uiPriority w:val="9"/>
    <w:qFormat/>
    <w:rsid w:val="00CA23FD"/>
    <w:pPr>
      <w:numPr>
        <w:ilvl w:val="3"/>
        <w:numId w:val="19"/>
      </w:numPr>
      <w:outlineLvl w:val="3"/>
    </w:pPr>
    <w:rPr>
      <w:bCs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gumam">
    <w:name w:val="1. Līgumam"/>
    <w:basedOn w:val="Normal"/>
    <w:link w:val="1LgumamChar"/>
    <w:qFormat/>
    <w:rsid w:val="00DD72FF"/>
    <w:pPr>
      <w:keepNext/>
      <w:numPr>
        <w:numId w:val="3"/>
      </w:numPr>
      <w:spacing w:before="240"/>
      <w:jc w:val="center"/>
    </w:pPr>
    <w:rPr>
      <w:rFonts w:eastAsia="Calibri"/>
      <w:b/>
      <w:szCs w:val="24"/>
      <w:lang w:val="x-none" w:eastAsia="x-none"/>
    </w:rPr>
  </w:style>
  <w:style w:type="character" w:customStyle="1" w:styleId="1LgumamChar">
    <w:name w:val="1. Līgumam Char"/>
    <w:link w:val="1Lgumam"/>
    <w:rsid w:val="00DD72FF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11Lgumam">
    <w:name w:val="1.1. Līgumam"/>
    <w:basedOn w:val="Normal"/>
    <w:link w:val="11LgumamChar"/>
    <w:qFormat/>
    <w:rsid w:val="00DD72FF"/>
    <w:pPr>
      <w:numPr>
        <w:ilvl w:val="1"/>
        <w:numId w:val="3"/>
      </w:numPr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DD72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D72FF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D72FF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Normal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Normal"/>
    <w:link w:val="1ProtokolamChar"/>
    <w:qFormat/>
    <w:rsid w:val="005011CE"/>
    <w:pPr>
      <w:numPr>
        <w:numId w:val="7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eastAsia="Times New Roman" w:hAnsi="Times New Roman" w:cs="Times New Roman"/>
      <w:sz w:val="24"/>
      <w:szCs w:val="24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Normal"/>
    <w:qFormat/>
    <w:rsid w:val="005011CE"/>
    <w:pPr>
      <w:numPr>
        <w:ilvl w:val="3"/>
        <w:numId w:val="7"/>
      </w:numPr>
    </w:pPr>
    <w:rPr>
      <w:szCs w:val="24"/>
      <w:lang w:val="en-GB"/>
    </w:rPr>
  </w:style>
  <w:style w:type="character" w:customStyle="1" w:styleId="Heading4Char">
    <w:name w:val="Heading 4 Char"/>
    <w:link w:val="Heading4"/>
    <w:uiPriority w:val="9"/>
    <w:rsid w:val="00CA23FD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"/>
    <w:link w:val="Heading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Normal"/>
    <w:link w:val="111TabulaiiiiiiChar"/>
    <w:qFormat/>
    <w:rsid w:val="00CA23FD"/>
    <w:pPr>
      <w:numPr>
        <w:ilvl w:val="2"/>
        <w:numId w:val="15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Normal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Normal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Normal"/>
    <w:qFormat/>
    <w:rsid w:val="00D81375"/>
    <w:pPr>
      <w:numPr>
        <w:ilvl w:val="1"/>
        <w:numId w:val="21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Normal"/>
    <w:link w:val="Tabulai2Char"/>
    <w:qFormat/>
    <w:rsid w:val="00D81375"/>
    <w:pPr>
      <w:numPr>
        <w:ilvl w:val="2"/>
        <w:numId w:val="21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Normal"/>
    <w:link w:val="1pielikumsChar"/>
    <w:qFormat/>
    <w:rsid w:val="00E35367"/>
    <w:pPr>
      <w:numPr>
        <w:numId w:val="22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99"/>
    <w:pPr>
      <w:spacing w:after="0" w:line="240" w:lineRule="auto"/>
    </w:pPr>
    <w:rPr>
      <w:rFonts w:ascii="Times New Roman" w:hAnsi="Times New Roman" w:cs="Times New Roman"/>
      <w:sz w:val="24"/>
      <w:szCs w:val="20"/>
      <w:lang w:eastAsia="lv-LV"/>
    </w:rPr>
  </w:style>
  <w:style w:type="paragraph" w:styleId="Heading1">
    <w:name w:val="heading 1"/>
    <w:aliases w:val="Section Heading,heading1,Antraste 1,h1,Section Heading Char,heading1 Char,Antraste 1 Char,h1 Char"/>
    <w:basedOn w:val="Normal"/>
    <w:next w:val="Heading2"/>
    <w:link w:val="Heading1Char"/>
    <w:autoRedefine/>
    <w:uiPriority w:val="9"/>
    <w:qFormat/>
    <w:rsid w:val="00CA23FD"/>
    <w:pPr>
      <w:keepNext/>
      <w:numPr>
        <w:numId w:val="19"/>
      </w:numPr>
      <w:spacing w:before="120" w:after="120"/>
      <w:jc w:val="center"/>
      <w:outlineLvl w:val="0"/>
    </w:pPr>
    <w:rPr>
      <w:b/>
      <w:bCs/>
      <w:caps/>
      <w:szCs w:val="24"/>
      <w:lang w:val="x-none" w:eastAsia="x-none"/>
    </w:rPr>
  </w:style>
  <w:style w:type="paragraph" w:styleId="Heading2">
    <w:name w:val="heading 2"/>
    <w:basedOn w:val="Normal"/>
    <w:link w:val="Heading2Char"/>
    <w:autoRedefine/>
    <w:uiPriority w:val="9"/>
    <w:qFormat/>
    <w:rsid w:val="00CA23FD"/>
    <w:pPr>
      <w:keepNext/>
      <w:numPr>
        <w:ilvl w:val="1"/>
        <w:numId w:val="19"/>
      </w:numPr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Heading2"/>
    <w:link w:val="Heading3Char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link w:val="Heading4Char"/>
    <w:autoRedefine/>
    <w:uiPriority w:val="9"/>
    <w:qFormat/>
    <w:rsid w:val="00CA23FD"/>
    <w:pPr>
      <w:numPr>
        <w:ilvl w:val="3"/>
        <w:numId w:val="19"/>
      </w:numPr>
      <w:outlineLvl w:val="3"/>
    </w:pPr>
    <w:rPr>
      <w:bCs/>
      <w:iCs/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gumam">
    <w:name w:val="1. Līgumam"/>
    <w:basedOn w:val="Normal"/>
    <w:link w:val="1LgumamChar"/>
    <w:qFormat/>
    <w:rsid w:val="00DD72FF"/>
    <w:pPr>
      <w:keepNext/>
      <w:numPr>
        <w:numId w:val="3"/>
      </w:numPr>
      <w:spacing w:before="240"/>
      <w:jc w:val="center"/>
    </w:pPr>
    <w:rPr>
      <w:rFonts w:eastAsia="Calibri"/>
      <w:b/>
      <w:szCs w:val="24"/>
      <w:lang w:val="x-none" w:eastAsia="x-none"/>
    </w:rPr>
  </w:style>
  <w:style w:type="character" w:customStyle="1" w:styleId="1LgumamChar">
    <w:name w:val="1. Līgumam Char"/>
    <w:link w:val="1Lgumam"/>
    <w:rsid w:val="00DD72FF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11Lgumam">
    <w:name w:val="1.1. Līgumam"/>
    <w:basedOn w:val="Normal"/>
    <w:link w:val="11LgumamChar"/>
    <w:qFormat/>
    <w:rsid w:val="00DD72FF"/>
    <w:pPr>
      <w:numPr>
        <w:ilvl w:val="1"/>
        <w:numId w:val="3"/>
      </w:numPr>
    </w:pPr>
    <w:rPr>
      <w:rFonts w:eastAsia="Calibri"/>
      <w:szCs w:val="24"/>
      <w:lang w:val="x-none" w:eastAsia="x-none"/>
    </w:rPr>
  </w:style>
  <w:style w:type="character" w:customStyle="1" w:styleId="11LgumamChar">
    <w:name w:val="1.1. Līgumam Char"/>
    <w:link w:val="11Lgumam"/>
    <w:rsid w:val="00DD72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D72FF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D72FF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Normal"/>
    <w:qFormat/>
    <w:rsid w:val="00DD72FF"/>
    <w:pPr>
      <w:ind w:left="2410" w:hanging="905"/>
    </w:pPr>
    <w:rPr>
      <w:rFonts w:eastAsia="Calibri"/>
      <w:szCs w:val="24"/>
      <w:lang w:val="x-none"/>
    </w:rPr>
  </w:style>
  <w:style w:type="paragraph" w:customStyle="1" w:styleId="1Protokolam">
    <w:name w:val="1. Protokolam"/>
    <w:basedOn w:val="Normal"/>
    <w:link w:val="1ProtokolamChar"/>
    <w:qFormat/>
    <w:rsid w:val="005011CE"/>
    <w:pPr>
      <w:numPr>
        <w:numId w:val="7"/>
      </w:numPr>
      <w:spacing w:before="60" w:after="120" w:line="220" w:lineRule="auto"/>
    </w:pPr>
    <w:rPr>
      <w:szCs w:val="24"/>
    </w:rPr>
  </w:style>
  <w:style w:type="character" w:customStyle="1" w:styleId="1ProtokolamChar">
    <w:name w:val="1. Protokolam Char"/>
    <w:link w:val="1Protokolam"/>
    <w:rsid w:val="005011CE"/>
    <w:rPr>
      <w:rFonts w:ascii="Times New Roman" w:eastAsia="Times New Roman" w:hAnsi="Times New Roman" w:cs="Times New Roman"/>
      <w:sz w:val="24"/>
      <w:szCs w:val="24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Normal"/>
    <w:qFormat/>
    <w:rsid w:val="005011CE"/>
    <w:pPr>
      <w:numPr>
        <w:ilvl w:val="3"/>
        <w:numId w:val="7"/>
      </w:numPr>
    </w:pPr>
    <w:rPr>
      <w:szCs w:val="24"/>
      <w:lang w:val="en-GB"/>
    </w:rPr>
  </w:style>
  <w:style w:type="character" w:customStyle="1" w:styleId="Heading4Char">
    <w:name w:val="Heading 4 Char"/>
    <w:link w:val="Heading4"/>
    <w:uiPriority w:val="9"/>
    <w:rsid w:val="00CA23FD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"/>
    <w:link w:val="Heading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Normal"/>
    <w:link w:val="111TabulaiiiiiiChar"/>
    <w:qFormat/>
    <w:rsid w:val="00CA23FD"/>
    <w:pPr>
      <w:numPr>
        <w:ilvl w:val="2"/>
        <w:numId w:val="15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Normal"/>
    <w:link w:val="KonstatChar"/>
    <w:qFormat/>
    <w:rsid w:val="00D81375"/>
    <w:pPr>
      <w:spacing w:before="120"/>
      <w:ind w:left="851"/>
      <w:jc w:val="both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Normal"/>
    <w:link w:val="NolmejChar"/>
    <w:qFormat/>
    <w:rsid w:val="00D81375"/>
    <w:pPr>
      <w:ind w:left="357"/>
      <w:jc w:val="both"/>
    </w:pPr>
    <w:rPr>
      <w:szCs w:val="24"/>
    </w:r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">
    <w:name w:val="Tabulai"/>
    <w:basedOn w:val="Normal"/>
    <w:qFormat/>
    <w:rsid w:val="00D81375"/>
    <w:pPr>
      <w:numPr>
        <w:ilvl w:val="1"/>
        <w:numId w:val="21"/>
      </w:numPr>
      <w:jc w:val="both"/>
    </w:pPr>
    <w:rPr>
      <w:rFonts w:eastAsia="Calibri"/>
      <w:color w:val="000000"/>
    </w:rPr>
  </w:style>
  <w:style w:type="paragraph" w:customStyle="1" w:styleId="Tabulai2">
    <w:name w:val="Tabulai2"/>
    <w:basedOn w:val="Normal"/>
    <w:link w:val="Tabulai2Char"/>
    <w:qFormat/>
    <w:rsid w:val="00D81375"/>
    <w:pPr>
      <w:numPr>
        <w:ilvl w:val="2"/>
        <w:numId w:val="21"/>
      </w:numPr>
      <w:jc w:val="both"/>
    </w:pPr>
    <w:rPr>
      <w:rFonts w:eastAsia="Calibri"/>
    </w:rPr>
  </w:style>
  <w:style w:type="character" w:customStyle="1" w:styleId="Tabulai2Char">
    <w:name w:val="Tabulai2 Char"/>
    <w:link w:val="Tabulai2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paragraph" w:customStyle="1" w:styleId="1pielikums">
    <w:name w:val="1. pielikums"/>
    <w:basedOn w:val="Normal"/>
    <w:link w:val="1pielikumsChar"/>
    <w:qFormat/>
    <w:rsid w:val="00E35367"/>
    <w:pPr>
      <w:numPr>
        <w:numId w:val="22"/>
      </w:numPr>
      <w:ind w:right="-1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"/>
    <w:rsid w:val="00E35367"/>
    <w:rPr>
      <w:rFonts w:ascii="Times New Roman" w:eastAsia="Calibri" w:hAnsi="Times New Roman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623</Characters>
  <Application>Microsoft Office Word</Application>
  <DocSecurity>0</DocSecurity>
  <Lines>5</Lines>
  <Paragraphs>3</Paragraphs>
  <ScaleCrop>false</ScaleCrop>
  <Company>Capital Inc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IngaG</dc:creator>
  <cp:lastModifiedBy>IngaG</cp:lastModifiedBy>
  <cp:revision>1</cp:revision>
  <dcterms:created xsi:type="dcterms:W3CDTF">2015-06-03T07:25:00Z</dcterms:created>
  <dcterms:modified xsi:type="dcterms:W3CDTF">2015-06-03T07:26:00Z</dcterms:modified>
</cp:coreProperties>
</file>